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3E" w:rsidRPr="0094333E" w:rsidRDefault="0094333E" w:rsidP="0094333E">
      <w:pPr>
        <w:pStyle w:val="Heading8"/>
        <w:numPr>
          <w:ilvl w:val="0"/>
          <w:numId w:val="0"/>
        </w:numPr>
        <w:jc w:val="center"/>
        <w:rPr>
          <w:b w:val="0"/>
          <w:sz w:val="24"/>
        </w:rPr>
      </w:pPr>
      <w:r w:rsidRPr="0094333E">
        <w:rPr>
          <w:sz w:val="24"/>
        </w:rPr>
        <w:t>PLANUL NAȚIONAL DE REDRESARE ȘI REZILIENȚĂ</w:t>
      </w:r>
    </w:p>
    <w:p w:rsidR="006E1CE8" w:rsidRPr="006E1CE8" w:rsidRDefault="006E1CE8" w:rsidP="006E1CE8">
      <w:pPr>
        <w:jc w:val="center"/>
        <w:rPr>
          <w:b/>
          <w:caps/>
          <w:sz w:val="24"/>
        </w:rPr>
      </w:pPr>
      <w:r w:rsidRPr="006E1CE8">
        <w:rPr>
          <w:b/>
          <w:caps/>
          <w:sz w:val="24"/>
        </w:rPr>
        <w:t>COMPONENTA C5 – VALUL RENOVĂRII</w:t>
      </w:r>
    </w:p>
    <w:p w:rsidR="00C73D5D" w:rsidRDefault="006E1CE8" w:rsidP="006E1CE8">
      <w:pPr>
        <w:jc w:val="center"/>
        <w:rPr>
          <w:b/>
          <w:caps/>
          <w:sz w:val="24"/>
        </w:rPr>
      </w:pPr>
      <w:r w:rsidRPr="006E1CE8">
        <w:rPr>
          <w:b/>
          <w:caps/>
          <w:sz w:val="24"/>
        </w:rPr>
        <w:t xml:space="preserve">AXA 1  - SCHEMA DE GRANTURI PENTRU EFICIENȚĂ ENERGETICĂ ȘI REZILIENȚĂ ÎN CLĂDIRI REZIDENȚIALE MULTIFAMILIALE </w:t>
      </w:r>
    </w:p>
    <w:p w:rsidR="006E1CE8" w:rsidRDefault="006E1CE8" w:rsidP="006E1CE8">
      <w:pPr>
        <w:jc w:val="center"/>
        <w:rPr>
          <w:b/>
          <w:caps/>
          <w:sz w:val="24"/>
        </w:rPr>
      </w:pPr>
      <w:r w:rsidRPr="006E1CE8">
        <w:rPr>
          <w:b/>
          <w:caps/>
          <w:sz w:val="24"/>
        </w:rPr>
        <w:t>OPERAȚIUNEA A.3: RENOVAREA ENERGETICĂ MODERATĂ SAU APROFUNDATĂ A CLĂDIRILOR REZIDENȚIALE MULTIFAMILIALE</w:t>
      </w:r>
    </w:p>
    <w:p w:rsidR="006E1CE8" w:rsidRPr="006E1CE8" w:rsidRDefault="00AE5E86" w:rsidP="006E1CE8">
      <w:pPr>
        <w:jc w:val="center"/>
        <w:rPr>
          <w:b/>
          <w:caps/>
          <w:sz w:val="24"/>
        </w:rPr>
      </w:pPr>
      <w:r>
        <w:rPr>
          <w:b/>
          <w:caps/>
          <w:sz w:val="24"/>
        </w:rPr>
        <w:t>APELURILE</w:t>
      </w:r>
      <w:r w:rsidR="006E1CE8" w:rsidRPr="006E1CE8">
        <w:rPr>
          <w:b/>
          <w:caps/>
          <w:sz w:val="24"/>
        </w:rPr>
        <w:t xml:space="preserve"> DE PROIECTE</w:t>
      </w:r>
    </w:p>
    <w:p w:rsidR="006E1CE8" w:rsidRPr="006E1CE8" w:rsidRDefault="006E1CE8" w:rsidP="006E1CE8">
      <w:pPr>
        <w:jc w:val="center"/>
        <w:rPr>
          <w:b/>
          <w:caps/>
          <w:sz w:val="24"/>
        </w:rPr>
      </w:pPr>
      <w:r w:rsidRPr="006E1CE8">
        <w:rPr>
          <w:b/>
          <w:caps/>
          <w:sz w:val="24"/>
        </w:rPr>
        <w:t>PNRR/2022/C5/1/A.3.1/1,</w:t>
      </w:r>
    </w:p>
    <w:p w:rsidR="0094333E" w:rsidRPr="0094333E" w:rsidRDefault="006E1CE8" w:rsidP="006E1CE8">
      <w:pPr>
        <w:jc w:val="center"/>
      </w:pPr>
      <w:r w:rsidRPr="006E1CE8">
        <w:rPr>
          <w:b/>
          <w:caps/>
          <w:sz w:val="24"/>
        </w:rPr>
        <w:t>PNRR/2022/C5/1/A.3.2/1</w:t>
      </w:r>
    </w:p>
    <w:p w:rsidR="006E1CE8" w:rsidRDefault="006E1CE8" w:rsidP="006E1CE8">
      <w:pPr>
        <w:jc w:val="both"/>
        <w:rPr>
          <w:rFonts w:eastAsia="SimSun"/>
          <w:bCs/>
        </w:rPr>
      </w:pPr>
      <w:r w:rsidRPr="00850126">
        <w:rPr>
          <w:rFonts w:eastAsia="SimSun"/>
          <w:bCs/>
        </w:rPr>
        <w:t>Prin intermediul componentei C5 - Valul Renovării se va urmări îmbunătățirea fondului construit printr-o abordare integrată a eficienței energetice, a consolidării seismice, a reducerii riscului la incendiu și a tranziției către clădiri verzi și inteligente, conferind respectul cuvenit pentru estetică și calitatea arhitecturală a acestuia, dezvoltarea unor mecanisme adecvate de monitorizare a performanțelor fondului construit și asigurarea capacității tehnice pentru implementarea investițiilor.</w:t>
      </w:r>
    </w:p>
    <w:p w:rsidR="006E1CE8" w:rsidRPr="001B326C" w:rsidRDefault="006E1CE8" w:rsidP="006E1CE8">
      <w:pPr>
        <w:jc w:val="both"/>
        <w:rPr>
          <w:rFonts w:eastAsia="SimSun"/>
          <w:bCs/>
        </w:rPr>
      </w:pPr>
      <w:r w:rsidRPr="001B326C">
        <w:rPr>
          <w:rFonts w:eastAsia="SimSun"/>
          <w:bCs/>
        </w:rPr>
        <w:t xml:space="preserve">În cadrul Investiției 1. Instituirea unui fond pentru Valul renovării care să finanțeze lucrări de creștere a eficienței energetice a fondului construit existent, Axa 1 - Schema de granturi pentru eficiență energetică și reziliență în clădiri rezidențiale multifamiliale: renovarea moderată sau aprofundată/ renovare integrată a clădirilor rezidențiale multifamiliale se va finanța renovarea energetică a cel puțin 4,3 milioane m² de clădiri rezidențiale multifamiliale, prin următoarele tipuri de proiecte: proiecte integrate (consolidare seismică și eficiență energetică) și proiecte de renovare energetică. </w:t>
      </w:r>
    </w:p>
    <w:p w:rsidR="0094333E" w:rsidRPr="00981EC3" w:rsidRDefault="006E1CE8" w:rsidP="0094333E">
      <w:pPr>
        <w:jc w:val="both"/>
        <w:rPr>
          <w:rFonts w:eastAsia="SimSun"/>
          <w:bCs/>
          <w:i/>
        </w:rPr>
      </w:pPr>
      <w:r w:rsidRPr="001B326C">
        <w:rPr>
          <w:rFonts w:eastAsia="SimSun"/>
          <w:bCs/>
        </w:rPr>
        <w:t xml:space="preserve">Schema de finanțare va asigura faptul că cel puțin 90% din alocarea totală pentru Axa 1 va fi utilizată pentru lucrări de creștere a eficienței energetice și nu mai mult de 10% din alocare va fi utilizată pentru consolidarea seismică și alte lucrări complementare (cum ar fi protecția împotriva incendiilor, accesibilitatea etc.). Întreaga schemă va asigura faptul că toate contractele îndeplinesc cerința relevantă de eficiență energetică privind o reducere minimă a consumului de energie cu cel puțin 50% în comparație cu consumul anual de energie pentru încălzire dinainte de renovare pentru fiecare clădire (cu excepția clădirilor cu statut de bun cultural), lucru care va trebui să asigure o reducere a consumului de energie primară de cel puțin 30% (renovare moderată) și de cel puțin 60% (renovare aprofundată) în comparație cu situația anterioară renovării și va respecta Comunicarea Comisiei - </w:t>
      </w:r>
      <w:r w:rsidRPr="001B326C">
        <w:rPr>
          <w:rFonts w:eastAsia="SimSun"/>
          <w:bCs/>
          <w:i/>
        </w:rPr>
        <w:t>Orientări tehnice privind aplicarea principiului de „a nu aduce prejudicii semnificative”</w:t>
      </w:r>
      <w:r w:rsidRPr="001B326C">
        <w:rPr>
          <w:i/>
        </w:rPr>
        <w:t xml:space="preserve"> </w:t>
      </w:r>
      <w:r w:rsidRPr="001B326C">
        <w:rPr>
          <w:rFonts w:eastAsia="SimSun"/>
          <w:bCs/>
          <w:i/>
        </w:rPr>
        <w:t>în temeiul Regulamentului privind Mecanismul de redresare și reziliență (2021/C58/01)</w:t>
      </w:r>
      <w:r w:rsidRPr="00942E0C">
        <w:rPr>
          <w:rStyle w:val="FootnoteReference"/>
          <w:rFonts w:eastAsia="SimSun"/>
          <w:bCs/>
          <w:i/>
        </w:rPr>
        <w:footnoteReference w:id="1"/>
      </w:r>
      <w:r w:rsidR="003D1371">
        <w:rPr>
          <w:rFonts w:eastAsia="SimSun"/>
          <w:bCs/>
          <w:i/>
        </w:rPr>
        <w:t>.</w:t>
      </w:r>
    </w:p>
    <w:p w:rsidR="003D1371" w:rsidRPr="00A16BF9" w:rsidRDefault="00AD7C13" w:rsidP="0094333E">
      <w:pPr>
        <w:spacing w:before="0"/>
        <w:jc w:val="both"/>
        <w:rPr>
          <w:rFonts w:eastAsia="SimSun"/>
        </w:rPr>
      </w:pPr>
      <w:bookmarkStart w:id="0" w:name="_Hlk93499021"/>
      <w:r w:rsidRPr="00A16BF9">
        <w:rPr>
          <w:rFonts w:eastAsia="SimSun"/>
        </w:rPr>
        <w:t xml:space="preserve">Alocările financiare </w:t>
      </w:r>
      <w:r w:rsidRPr="00017B51">
        <w:rPr>
          <w:rFonts w:eastAsia="SimSun"/>
          <w:b/>
        </w:rPr>
        <w:t>din PNRR</w:t>
      </w:r>
      <w:r w:rsidR="00AC7CE7" w:rsidRPr="00A16BF9">
        <w:rPr>
          <w:rFonts w:eastAsia="SimSun"/>
        </w:rPr>
        <w:t xml:space="preserve"> (</w:t>
      </w:r>
      <w:r w:rsidR="003D1371">
        <w:rPr>
          <w:rFonts w:eastAsia="SimSun"/>
          <w:bCs/>
          <w:u w:val="single"/>
        </w:rPr>
        <w:t>670.000.000</w:t>
      </w:r>
      <w:r w:rsidR="00AC7CE7" w:rsidRPr="00A16BF9">
        <w:rPr>
          <w:rFonts w:eastAsia="SimSun"/>
          <w:bCs/>
          <w:u w:val="single"/>
        </w:rPr>
        <w:t xml:space="preserve"> Euro)</w:t>
      </w:r>
      <w:r w:rsidRPr="00A16BF9">
        <w:rPr>
          <w:rFonts w:eastAsia="SimSun"/>
        </w:rPr>
        <w:t xml:space="preserve">, pentru renovarea energetică a clădirilor </w:t>
      </w:r>
      <w:r w:rsidR="00DE3B93">
        <w:rPr>
          <w:rFonts w:eastAsia="SimSun"/>
        </w:rPr>
        <w:t>rezidențiale</w:t>
      </w:r>
      <w:r w:rsidRPr="00A16BF9">
        <w:rPr>
          <w:rFonts w:eastAsia="SimSun"/>
        </w:rPr>
        <w:t xml:space="preserve"> </w:t>
      </w:r>
      <w:r w:rsidR="003D1371">
        <w:rPr>
          <w:rFonts w:eastAsia="SimSun"/>
        </w:rPr>
        <w:t xml:space="preserve">multifamiliale </w:t>
      </w:r>
      <w:r w:rsidRPr="00A16BF9">
        <w:rPr>
          <w:rFonts w:eastAsia="SimSun"/>
        </w:rPr>
        <w:t>au fost făcute în conformitate cu procentele stabilite în cadrul Componentei 5 – Valul Renovării, ș</w:t>
      </w:r>
      <w:r w:rsidR="003D1371">
        <w:rPr>
          <w:rFonts w:eastAsia="SimSun"/>
        </w:rPr>
        <w:t>i anume: 9</w:t>
      </w:r>
      <w:r w:rsidRPr="00A16BF9">
        <w:rPr>
          <w:rFonts w:eastAsia="SimSun"/>
        </w:rPr>
        <w:t xml:space="preserve">0% din fonduri </w:t>
      </w:r>
      <w:r w:rsidR="00AC7CE7" w:rsidRPr="00977877">
        <w:rPr>
          <w:rFonts w:eastAsia="SimSun"/>
        </w:rPr>
        <w:t>(</w:t>
      </w:r>
      <w:r w:rsidR="003D1371">
        <w:rPr>
          <w:rFonts w:eastAsia="SimSun"/>
          <w:u w:val="single"/>
        </w:rPr>
        <w:t>603.000.000</w:t>
      </w:r>
      <w:r w:rsidR="00AC7CE7" w:rsidRPr="00977877">
        <w:rPr>
          <w:rFonts w:eastAsia="SimSun"/>
          <w:u w:val="single"/>
        </w:rPr>
        <w:t xml:space="preserve"> Euro</w:t>
      </w:r>
      <w:r w:rsidR="00AC7CE7" w:rsidRPr="00977877">
        <w:rPr>
          <w:rFonts w:eastAsia="SimSun"/>
          <w:bCs/>
        </w:rPr>
        <w:t xml:space="preserve">,) </w:t>
      </w:r>
      <w:r w:rsidRPr="00977877">
        <w:rPr>
          <w:rFonts w:eastAsia="SimSun"/>
        </w:rPr>
        <w:t>au fost alocate pentru lucrările de renovarea moderată a cl</w:t>
      </w:r>
      <w:r w:rsidR="003D1371">
        <w:rPr>
          <w:rFonts w:eastAsia="SimSun"/>
        </w:rPr>
        <w:t>ădirilor publice iar restul de 1</w:t>
      </w:r>
      <w:r w:rsidRPr="00977877">
        <w:rPr>
          <w:rFonts w:eastAsia="SimSun"/>
        </w:rPr>
        <w:t xml:space="preserve">0% </w:t>
      </w:r>
      <w:r w:rsidR="00AC7CE7" w:rsidRPr="00977877">
        <w:rPr>
          <w:rFonts w:eastAsia="SimSun"/>
        </w:rPr>
        <w:t>(</w:t>
      </w:r>
      <w:r w:rsidR="003D1371">
        <w:rPr>
          <w:rFonts w:eastAsia="SimSun"/>
          <w:u w:val="single"/>
        </w:rPr>
        <w:t>67.000.</w:t>
      </w:r>
      <w:r w:rsidR="00AC7CE7" w:rsidRPr="00977877">
        <w:rPr>
          <w:rFonts w:eastAsia="SimSun"/>
          <w:u w:val="single"/>
        </w:rPr>
        <w:t>000 Euro</w:t>
      </w:r>
      <w:r w:rsidR="00AC7CE7" w:rsidRPr="00A16BF9">
        <w:rPr>
          <w:rFonts w:eastAsia="SimSun"/>
        </w:rPr>
        <w:t xml:space="preserve">) </w:t>
      </w:r>
      <w:r w:rsidRPr="00A16BF9">
        <w:rPr>
          <w:rFonts w:eastAsia="SimSun"/>
        </w:rPr>
        <w:t>au fost alocate lucrărilor de renovare aprofundată</w:t>
      </w:r>
      <w:r w:rsidR="00AC7CE7" w:rsidRPr="00A16BF9">
        <w:rPr>
          <w:rFonts w:eastAsia="SimSun"/>
        </w:rPr>
        <w:t>.</w:t>
      </w:r>
    </w:p>
    <w:p w:rsidR="00AC7CE7" w:rsidRDefault="00AC7CE7" w:rsidP="00AC7CE7">
      <w:pPr>
        <w:jc w:val="both"/>
        <w:rPr>
          <w:iCs/>
          <w:noProof/>
          <w:szCs w:val="20"/>
          <w:lang w:val="en-US" w:eastAsia="ro-RO"/>
        </w:rPr>
      </w:pPr>
      <w:r w:rsidRPr="00017B51">
        <w:rPr>
          <w:rFonts w:eastAsia="SimSun"/>
          <w:b/>
          <w:u w:val="single"/>
        </w:rPr>
        <w:t>Alocările financiare provenite din PNRR au fost suplimentate</w:t>
      </w:r>
      <w:r w:rsidRPr="00A16BF9">
        <w:rPr>
          <w:rFonts w:eastAsia="SimSun"/>
        </w:rPr>
        <w:t xml:space="preserve"> în conformitate cu prevederile art. 24 alin (1) din </w:t>
      </w:r>
      <w:r w:rsidRPr="00A16BF9">
        <w:rPr>
          <w:rFonts w:ascii="Tahoma" w:eastAsia="SimSun" w:hAnsi="Tahoma" w:cs="Tahoma"/>
        </w:rPr>
        <w:t>﻿</w:t>
      </w:r>
      <w:r w:rsidRPr="00A16BF9">
        <w:rPr>
          <w:rFonts w:eastAsia="SimSun"/>
        </w:rPr>
        <w:t xml:space="preserve">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w:t>
      </w:r>
      <w:proofErr w:type="spellStart"/>
      <w:r w:rsidRPr="00A16BF9">
        <w:rPr>
          <w:rFonts w:eastAsia="SimSun"/>
        </w:rPr>
        <w:t>naţional</w:t>
      </w:r>
      <w:proofErr w:type="spellEnd"/>
      <w:r w:rsidRPr="00A16BF9">
        <w:rPr>
          <w:rFonts w:eastAsia="SimSun"/>
        </w:rPr>
        <w:t xml:space="preserve">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necesar României pentru accesarea de fonduri externe rambursabile </w:t>
      </w:r>
      <w:proofErr w:type="spellStart"/>
      <w:r w:rsidRPr="00A16BF9">
        <w:rPr>
          <w:rFonts w:eastAsia="SimSun"/>
        </w:rPr>
        <w:t>şi</w:t>
      </w:r>
      <w:proofErr w:type="spellEnd"/>
      <w:r w:rsidRPr="00A16BF9">
        <w:rPr>
          <w:rFonts w:eastAsia="SimSun"/>
        </w:rPr>
        <w:t xml:space="preserve"> nerambursabile în cadrul Mecanismului de redresare </w:t>
      </w:r>
      <w:proofErr w:type="spellStart"/>
      <w:r w:rsidRPr="00A16BF9">
        <w:rPr>
          <w:rFonts w:eastAsia="SimSun"/>
        </w:rPr>
        <w:t>şi</w:t>
      </w:r>
      <w:proofErr w:type="spellEnd"/>
      <w:r w:rsidRPr="00A16BF9">
        <w:rPr>
          <w:rFonts w:eastAsia="SimSun"/>
        </w:rPr>
        <w:t xml:space="preserve"> </w:t>
      </w:r>
      <w:proofErr w:type="spellStart"/>
      <w:r w:rsidRPr="00A16BF9">
        <w:rPr>
          <w:rFonts w:eastAsia="SimSun"/>
        </w:rPr>
        <w:t>rezilienţă</w:t>
      </w:r>
      <w:proofErr w:type="spellEnd"/>
      <w:r w:rsidRPr="00A16BF9">
        <w:rPr>
          <w:rFonts w:eastAsia="SimSun"/>
        </w:rPr>
        <w:t xml:space="preserve">, până la o valoare de </w:t>
      </w:r>
      <w:r w:rsidR="003D1371">
        <w:rPr>
          <w:b/>
          <w:iCs/>
          <w:noProof/>
          <w:szCs w:val="20"/>
          <w:u w:val="single"/>
          <w:lang w:val="en-US" w:eastAsia="ro-RO"/>
        </w:rPr>
        <w:t>783.900.000</w:t>
      </w:r>
      <w:r w:rsidRPr="00017B51">
        <w:rPr>
          <w:b/>
          <w:iCs/>
          <w:noProof/>
          <w:szCs w:val="20"/>
          <w:u w:val="single"/>
          <w:lang w:val="en-US" w:eastAsia="ro-RO"/>
        </w:rPr>
        <w:t xml:space="preserve"> Euro</w:t>
      </w:r>
      <w:r w:rsidRPr="00A16BF9">
        <w:rPr>
          <w:iCs/>
          <w:noProof/>
          <w:szCs w:val="20"/>
          <w:u w:val="single"/>
          <w:lang w:val="en-US" w:eastAsia="ro-RO"/>
        </w:rPr>
        <w:t xml:space="preserve"> </w:t>
      </w:r>
      <w:r w:rsidRPr="00A16BF9">
        <w:rPr>
          <w:iCs/>
          <w:noProof/>
          <w:szCs w:val="20"/>
          <w:lang w:val="en-US" w:eastAsia="ro-RO"/>
        </w:rPr>
        <w:t xml:space="preserve">pentru lucrările de renovare moderată a clădirilor </w:t>
      </w:r>
      <w:r w:rsidR="003D1371">
        <w:rPr>
          <w:iCs/>
          <w:noProof/>
          <w:szCs w:val="20"/>
          <w:lang w:val="en-US" w:eastAsia="ro-RO"/>
        </w:rPr>
        <w:t>rezidențiale multifamiliale</w:t>
      </w:r>
      <w:r w:rsidRPr="00A16BF9">
        <w:rPr>
          <w:iCs/>
          <w:noProof/>
          <w:szCs w:val="20"/>
          <w:lang w:val="en-US" w:eastAsia="ro-RO"/>
        </w:rPr>
        <w:t xml:space="preserve">, </w:t>
      </w:r>
      <w:r w:rsidRPr="00017B51">
        <w:rPr>
          <w:b/>
          <w:iCs/>
          <w:noProof/>
          <w:szCs w:val="20"/>
          <w:lang w:val="en-US" w:eastAsia="ro-RO"/>
        </w:rPr>
        <w:t>și</w:t>
      </w:r>
      <w:r w:rsidRPr="00017B51">
        <w:rPr>
          <w:b/>
          <w:iCs/>
          <w:noProof/>
          <w:szCs w:val="20"/>
          <w:u w:val="single"/>
          <w:lang w:val="en-US" w:eastAsia="ro-RO"/>
        </w:rPr>
        <w:t xml:space="preserve"> </w:t>
      </w:r>
      <w:r w:rsidR="003D1371">
        <w:rPr>
          <w:b/>
          <w:iCs/>
          <w:noProof/>
          <w:szCs w:val="20"/>
          <w:u w:val="single"/>
          <w:lang w:val="en-US" w:eastAsia="ro-RO"/>
        </w:rPr>
        <w:t>87.100.000</w:t>
      </w:r>
      <w:r w:rsidRPr="00017B51">
        <w:rPr>
          <w:b/>
          <w:iCs/>
          <w:noProof/>
          <w:szCs w:val="20"/>
          <w:u w:val="single"/>
          <w:lang w:val="en-US" w:eastAsia="ro-RO"/>
        </w:rPr>
        <w:t xml:space="preserve"> Euro</w:t>
      </w:r>
      <w:r w:rsidRPr="00A16BF9">
        <w:rPr>
          <w:iCs/>
          <w:noProof/>
          <w:szCs w:val="20"/>
          <w:u w:val="single"/>
          <w:lang w:val="en-US" w:eastAsia="ro-RO"/>
        </w:rPr>
        <w:t xml:space="preserve"> </w:t>
      </w:r>
      <w:r w:rsidRPr="00A16BF9">
        <w:rPr>
          <w:iCs/>
          <w:noProof/>
          <w:szCs w:val="20"/>
          <w:lang w:val="en-US" w:eastAsia="ro-RO"/>
        </w:rPr>
        <w:t xml:space="preserve">pentru lucările de renovare aprofundată a clădirilor </w:t>
      </w:r>
      <w:r w:rsidR="003D1371">
        <w:rPr>
          <w:iCs/>
          <w:noProof/>
          <w:szCs w:val="20"/>
          <w:lang w:val="en-US" w:eastAsia="ro-RO"/>
        </w:rPr>
        <w:t>rezidențiale multifamiliale</w:t>
      </w:r>
      <w:r w:rsidRPr="00A16BF9">
        <w:rPr>
          <w:iCs/>
          <w:noProof/>
          <w:szCs w:val="20"/>
          <w:lang w:val="en-US" w:eastAsia="ro-RO"/>
        </w:rPr>
        <w:t>.</w:t>
      </w:r>
    </w:p>
    <w:p w:rsidR="00DE3B93" w:rsidRPr="00DE3B93" w:rsidRDefault="00DE3B93" w:rsidP="00DE3B93">
      <w:pPr>
        <w:spacing w:before="0"/>
        <w:jc w:val="both"/>
        <w:rPr>
          <w:rFonts w:eastAsia="SimSun"/>
          <w:b/>
          <w:sz w:val="24"/>
        </w:rPr>
      </w:pPr>
      <w:r w:rsidRPr="00DE3B93">
        <w:rPr>
          <w:rFonts w:eastAsia="SimSun"/>
          <w:b/>
          <w:sz w:val="24"/>
        </w:rPr>
        <w:t>Apelul de proiecte de renovare energetică moderată</w:t>
      </w:r>
      <w:r w:rsidRPr="00DE3B93">
        <w:rPr>
          <w:rFonts w:eastAsia="SimSun"/>
        </w:rPr>
        <w:t xml:space="preserve"> </w:t>
      </w:r>
      <w:r w:rsidRPr="00DE3B93">
        <w:rPr>
          <w:rFonts w:eastAsia="SimSun"/>
          <w:b/>
          <w:sz w:val="24"/>
        </w:rPr>
        <w:t>a clădirilor rezidențiale multifamiliale, titlu apel: PNRR/2022/C5/1/A.3.1/1</w:t>
      </w:r>
    </w:p>
    <w:p w:rsidR="00951120" w:rsidRPr="004C103A" w:rsidRDefault="00AC7CE7" w:rsidP="004C103A">
      <w:pPr>
        <w:pStyle w:val="ListParagraph"/>
        <w:numPr>
          <w:ilvl w:val="0"/>
          <w:numId w:val="11"/>
        </w:numPr>
        <w:tabs>
          <w:tab w:val="left" w:pos="284"/>
        </w:tabs>
        <w:ind w:left="284" w:hanging="284"/>
        <w:contextualSpacing w:val="0"/>
        <w:jc w:val="both"/>
        <w:rPr>
          <w:rFonts w:eastAsia="SimSun"/>
          <w:u w:val="single"/>
        </w:rPr>
      </w:pPr>
      <w:r w:rsidRPr="004C103A">
        <w:rPr>
          <w:iCs/>
          <w:noProof/>
          <w:szCs w:val="20"/>
          <w:lang w:val="en-US" w:eastAsia="ro-RO"/>
        </w:rPr>
        <w:lastRenderedPageBreak/>
        <w:t>Astfel, pentru apelul de proiecte de renova</w:t>
      </w:r>
      <w:r w:rsidR="003D1371" w:rsidRPr="004C103A">
        <w:rPr>
          <w:iCs/>
          <w:noProof/>
          <w:szCs w:val="20"/>
          <w:lang w:val="en-US" w:eastAsia="ro-RO"/>
        </w:rPr>
        <w:t>re moderată a clădirilor rezidențiale multifamiliale</w:t>
      </w:r>
      <w:r w:rsidR="00951120" w:rsidRPr="004C103A">
        <w:rPr>
          <w:iCs/>
          <w:noProof/>
          <w:szCs w:val="20"/>
          <w:lang w:val="en-US" w:eastAsia="ro-RO"/>
        </w:rPr>
        <w:t xml:space="preserve">, titlul apel </w:t>
      </w:r>
      <w:r w:rsidR="004C103A" w:rsidRPr="004C103A">
        <w:rPr>
          <w:rFonts w:eastAsia="SimSun"/>
          <w:u w:val="single"/>
        </w:rPr>
        <w:t xml:space="preserve">PNRR/2022/C5/1/A.3.1/1 </w:t>
      </w:r>
      <w:r w:rsidR="00E357AA" w:rsidRPr="004C103A">
        <w:rPr>
          <w:rFonts w:eastAsia="SimSun"/>
          <w:u w:val="single"/>
        </w:rPr>
        <w:t>(</w:t>
      </w:r>
      <w:r w:rsidR="004C103A" w:rsidRPr="004C103A">
        <w:rPr>
          <w:iCs/>
          <w:noProof/>
          <w:szCs w:val="20"/>
          <w:u w:val="single"/>
          <w:lang w:val="en-US" w:eastAsia="ro-RO"/>
        </w:rPr>
        <w:t>783.900.000</w:t>
      </w:r>
      <w:r w:rsidR="00E357AA" w:rsidRPr="004C103A">
        <w:rPr>
          <w:iCs/>
          <w:noProof/>
          <w:szCs w:val="20"/>
          <w:u w:val="single"/>
          <w:lang w:val="en-US" w:eastAsia="ro-RO"/>
        </w:rPr>
        <w:t xml:space="preserve"> Euro), </w:t>
      </w:r>
      <w:r w:rsidR="00951120" w:rsidRPr="004C103A">
        <w:rPr>
          <w:rFonts w:eastAsia="SimSun"/>
        </w:rPr>
        <w:t>sumele au fost distribuite între solicitanții eligibili, astfel:</w:t>
      </w:r>
    </w:p>
    <w:p w:rsidR="003D1371" w:rsidRPr="004C103A" w:rsidRDefault="003D1371" w:rsidP="004C103A">
      <w:pPr>
        <w:pStyle w:val="ListParagraph"/>
        <w:numPr>
          <w:ilvl w:val="0"/>
          <w:numId w:val="15"/>
        </w:numPr>
        <w:contextualSpacing w:val="0"/>
        <w:jc w:val="both"/>
        <w:rPr>
          <w:rFonts w:eastAsia="SimSun"/>
        </w:rPr>
      </w:pPr>
      <w:r w:rsidRPr="004C103A">
        <w:rPr>
          <w:iCs/>
          <w:noProof/>
          <w:szCs w:val="20"/>
          <w:lang w:eastAsia="ro-RO"/>
        </w:rPr>
        <w:t xml:space="preserve">Alocare financiară din PNRR: </w:t>
      </w:r>
      <w:r w:rsidRPr="004C103A">
        <w:rPr>
          <w:rFonts w:eastAsia="SimSun"/>
          <w:u w:val="single"/>
        </w:rPr>
        <w:t xml:space="preserve">603.000.000 </w:t>
      </w:r>
      <w:r w:rsidRPr="004C103A">
        <w:rPr>
          <w:iCs/>
          <w:noProof/>
          <w:szCs w:val="20"/>
          <w:lang w:eastAsia="ro-RO"/>
        </w:rPr>
        <w:t>Euro</w:t>
      </w:r>
    </w:p>
    <w:p w:rsidR="003D1371" w:rsidRPr="004C103A" w:rsidRDefault="003D1371" w:rsidP="004C103A">
      <w:pPr>
        <w:pStyle w:val="ListParagraph"/>
        <w:numPr>
          <w:ilvl w:val="0"/>
          <w:numId w:val="15"/>
        </w:numPr>
        <w:contextualSpacing w:val="0"/>
        <w:jc w:val="both"/>
        <w:rPr>
          <w:rFonts w:eastAsia="SimSun"/>
        </w:rPr>
      </w:pPr>
      <w:r w:rsidRPr="004C103A">
        <w:rPr>
          <w:iCs/>
          <w:noProof/>
          <w:szCs w:val="20"/>
          <w:lang w:eastAsia="ro-RO"/>
        </w:rPr>
        <w:t xml:space="preserve">Alocare financiară suplimentară, pe lângă finanțarea din PNRR, conform art. 24 alin (1) din Ordonanţă de urgenţă nr. 124/2021: </w:t>
      </w:r>
      <w:r w:rsidRPr="004C103A">
        <w:rPr>
          <w:rFonts w:eastAsia="SimSun"/>
          <w:u w:val="single"/>
        </w:rPr>
        <w:t xml:space="preserve">180.900.000 </w:t>
      </w:r>
      <w:r w:rsidRPr="004C103A">
        <w:rPr>
          <w:iCs/>
          <w:noProof/>
          <w:szCs w:val="20"/>
          <w:lang w:eastAsia="ro-RO"/>
        </w:rPr>
        <w:t>Euro</w:t>
      </w:r>
    </w:p>
    <w:p w:rsidR="003D1371" w:rsidRPr="004C103A" w:rsidRDefault="003D1371" w:rsidP="004C103A">
      <w:pPr>
        <w:pStyle w:val="ListParagraph"/>
        <w:numPr>
          <w:ilvl w:val="0"/>
          <w:numId w:val="15"/>
        </w:numPr>
        <w:contextualSpacing w:val="0"/>
        <w:jc w:val="both"/>
        <w:rPr>
          <w:iCs/>
          <w:noProof/>
          <w:szCs w:val="20"/>
          <w:lang w:eastAsia="ro-RO"/>
        </w:rPr>
      </w:pPr>
      <w:r w:rsidRPr="004C103A">
        <w:rPr>
          <w:iCs/>
          <w:noProof/>
          <w:szCs w:val="20"/>
          <w:lang w:eastAsia="ro-RO"/>
        </w:rPr>
        <w:t>Alocare cumulată PNRR+sume suplimentare conform OUG 124/2021</w:t>
      </w:r>
      <w:r w:rsidRPr="004C103A">
        <w:rPr>
          <w:iCs/>
          <w:noProof/>
          <w:szCs w:val="20"/>
          <w:lang w:val="en-US" w:eastAsia="ro-RO"/>
        </w:rPr>
        <w:t>: 783.900.000</w:t>
      </w:r>
      <w:r w:rsidRPr="004C103A">
        <w:rPr>
          <w:iCs/>
          <w:noProof/>
          <w:szCs w:val="20"/>
          <w:lang w:eastAsia="ro-RO"/>
        </w:rPr>
        <w:t xml:space="preserve"> Euro </w:t>
      </w:r>
    </w:p>
    <w:p w:rsidR="004C103A" w:rsidRPr="004C103A" w:rsidRDefault="004C103A" w:rsidP="004C103A">
      <w:pPr>
        <w:pStyle w:val="ListParagraph"/>
        <w:numPr>
          <w:ilvl w:val="0"/>
          <w:numId w:val="15"/>
        </w:numPr>
        <w:contextualSpacing w:val="0"/>
        <w:jc w:val="both"/>
        <w:rPr>
          <w:iCs/>
          <w:noProof/>
          <w:szCs w:val="20"/>
          <w:lang w:eastAsia="ro-RO"/>
        </w:rPr>
      </w:pPr>
      <w:r w:rsidRPr="004C103A">
        <w:rPr>
          <w:iCs/>
          <w:noProof/>
          <w:szCs w:val="20"/>
          <w:lang w:eastAsia="ro-RO"/>
        </w:rPr>
        <w:t xml:space="preserve">Alocare pentru </w:t>
      </w:r>
      <w:r w:rsidRPr="004C103A">
        <w:rPr>
          <w:b/>
          <w:iCs/>
          <w:noProof/>
          <w:szCs w:val="20"/>
          <w:lang w:eastAsia="ro-RO"/>
        </w:rPr>
        <w:t>finanțarea schemelor de ajutor de stat în cuantum de 39.195.000 Euro</w:t>
      </w:r>
      <w:r w:rsidRPr="004C103A">
        <w:rPr>
          <w:iCs/>
          <w:noProof/>
          <w:szCs w:val="20"/>
          <w:lang w:eastAsia="ro-RO"/>
        </w:rPr>
        <w:t xml:space="preserve"> (5% din 783.900.000 Euro)</w:t>
      </w:r>
    </w:p>
    <w:p w:rsidR="003D1371" w:rsidRPr="004C103A" w:rsidRDefault="003D1371" w:rsidP="004C103A">
      <w:pPr>
        <w:spacing w:before="0"/>
        <w:jc w:val="both"/>
        <w:rPr>
          <w:iCs/>
          <w:noProof/>
          <w:szCs w:val="20"/>
          <w:lang w:eastAsia="ro-RO"/>
        </w:rPr>
      </w:pPr>
      <w:r w:rsidRPr="00FC7791">
        <w:rPr>
          <w:b/>
          <w:iCs/>
          <w:noProof/>
          <w:szCs w:val="20"/>
          <w:u w:val="single"/>
          <w:lang w:eastAsia="ro-RO"/>
        </w:rPr>
        <w:t>Alocare</w:t>
      </w:r>
      <w:r w:rsidR="004C103A" w:rsidRPr="00FC7791">
        <w:rPr>
          <w:b/>
          <w:iCs/>
          <w:noProof/>
          <w:szCs w:val="20"/>
          <w:u w:val="single"/>
          <w:lang w:eastAsia="ro-RO"/>
        </w:rPr>
        <w:t>a</w:t>
      </w:r>
      <w:r w:rsidRPr="00FC7791">
        <w:rPr>
          <w:b/>
          <w:iCs/>
          <w:noProof/>
          <w:szCs w:val="20"/>
          <w:u w:val="single"/>
          <w:lang w:eastAsia="ro-RO"/>
        </w:rPr>
        <w:t xml:space="preserve"> financiară totală eligibil</w:t>
      </w:r>
      <w:r w:rsidR="004C103A" w:rsidRPr="00FC7791">
        <w:rPr>
          <w:b/>
          <w:iCs/>
          <w:noProof/>
          <w:szCs w:val="20"/>
          <w:u w:val="single"/>
          <w:lang w:eastAsia="ro-RO"/>
        </w:rPr>
        <w:t>ă*</w:t>
      </w:r>
      <w:r w:rsidRPr="00FC7791">
        <w:rPr>
          <w:b/>
          <w:iCs/>
          <w:noProof/>
          <w:szCs w:val="20"/>
          <w:u w:val="single"/>
          <w:lang w:eastAsia="ro-RO"/>
        </w:rPr>
        <w:t>: 744.705.000 Euro</w:t>
      </w:r>
      <w:r w:rsidRPr="004C103A">
        <w:rPr>
          <w:iCs/>
          <w:noProof/>
          <w:szCs w:val="20"/>
          <w:lang w:eastAsia="ro-RO"/>
        </w:rPr>
        <w:t>,</w:t>
      </w:r>
      <w:r w:rsidR="004C103A" w:rsidRPr="004C103A">
        <w:rPr>
          <w:iCs/>
          <w:noProof/>
          <w:szCs w:val="20"/>
          <w:lang w:eastAsia="ro-RO"/>
        </w:rPr>
        <w:t xml:space="preserve"> repartizată </w:t>
      </w:r>
      <w:r w:rsidR="00A05035">
        <w:rPr>
          <w:iCs/>
          <w:noProof/>
          <w:szCs w:val="20"/>
          <w:lang w:eastAsia="ro-RO"/>
        </w:rPr>
        <w:t>pe județe ș</w:t>
      </w:r>
      <w:r w:rsidR="004C103A" w:rsidRPr="004C103A">
        <w:rPr>
          <w:iCs/>
          <w:noProof/>
          <w:szCs w:val="20"/>
          <w:lang w:eastAsia="ro-RO"/>
        </w:rPr>
        <w:t xml:space="preserve">i </w:t>
      </w:r>
      <w:r w:rsidR="00A05035">
        <w:rPr>
          <w:iCs/>
          <w:noProof/>
          <w:szCs w:val="20"/>
          <w:lang w:eastAsia="ro-RO"/>
        </w:rPr>
        <w:t>municipiul București</w:t>
      </w:r>
      <w:r w:rsidR="004C103A" w:rsidRPr="004C103A">
        <w:rPr>
          <w:iCs/>
          <w:noProof/>
          <w:szCs w:val="20"/>
          <w:lang w:eastAsia="ro-RO"/>
        </w:rPr>
        <w:t>, s-a făcut ținând cont de trei factori, astfel:</w:t>
      </w:r>
    </w:p>
    <w:p w:rsidR="004C103A" w:rsidRPr="004C103A" w:rsidRDefault="004C103A" w:rsidP="004C103A">
      <w:pPr>
        <w:pStyle w:val="ListParagraph"/>
        <w:numPr>
          <w:ilvl w:val="0"/>
          <w:numId w:val="5"/>
        </w:numPr>
        <w:ind w:left="714" w:hanging="357"/>
        <w:contextualSpacing w:val="0"/>
        <w:jc w:val="both"/>
        <w:rPr>
          <w:iCs/>
          <w:noProof/>
          <w:szCs w:val="20"/>
          <w:lang w:eastAsia="ro-RO"/>
        </w:rPr>
      </w:pPr>
      <w:r w:rsidRPr="004C103A">
        <w:rPr>
          <w:iCs/>
          <w:noProof/>
          <w:szCs w:val="20"/>
          <w:lang w:eastAsia="ro-RO"/>
        </w:rPr>
        <w:t>35% din sumă distribuită în mod egal tuturor județelor,</w:t>
      </w:r>
    </w:p>
    <w:p w:rsidR="004C103A" w:rsidRPr="004C103A" w:rsidRDefault="004C103A" w:rsidP="004C103A">
      <w:pPr>
        <w:pStyle w:val="ListParagraph"/>
        <w:numPr>
          <w:ilvl w:val="0"/>
          <w:numId w:val="5"/>
        </w:numPr>
        <w:ind w:left="714" w:hanging="357"/>
        <w:contextualSpacing w:val="0"/>
        <w:jc w:val="both"/>
        <w:rPr>
          <w:iCs/>
          <w:noProof/>
          <w:szCs w:val="20"/>
          <w:lang w:eastAsia="ro-RO"/>
        </w:rPr>
      </w:pPr>
      <w:r w:rsidRPr="004C103A">
        <w:rPr>
          <w:iCs/>
          <w:noProof/>
          <w:szCs w:val="20"/>
          <w:lang w:eastAsia="ro-RO"/>
        </w:rPr>
        <w:t>40% din sumă distribuită proporțional, în funcție de populația rezidentă din fiecare județ,</w:t>
      </w:r>
    </w:p>
    <w:p w:rsidR="004C103A" w:rsidRPr="004C103A" w:rsidRDefault="004C103A" w:rsidP="004C103A">
      <w:pPr>
        <w:pStyle w:val="ListParagraph"/>
        <w:numPr>
          <w:ilvl w:val="0"/>
          <w:numId w:val="5"/>
        </w:numPr>
        <w:ind w:left="714" w:hanging="357"/>
        <w:contextualSpacing w:val="0"/>
        <w:jc w:val="both"/>
        <w:rPr>
          <w:iCs/>
          <w:noProof/>
          <w:szCs w:val="20"/>
          <w:lang w:eastAsia="ro-RO"/>
        </w:rPr>
      </w:pPr>
      <w:r w:rsidRPr="004C103A">
        <w:rPr>
          <w:iCs/>
          <w:noProof/>
          <w:szCs w:val="20"/>
          <w:lang w:eastAsia="ro-RO"/>
        </w:rPr>
        <w:t xml:space="preserve">25% din sumă distribuită proporțional, în funcție de numărul de </w:t>
      </w:r>
      <w:r w:rsidR="00FC7791">
        <w:rPr>
          <w:iCs/>
          <w:noProof/>
          <w:szCs w:val="20"/>
          <w:lang w:eastAsia="ro-RO"/>
        </w:rPr>
        <w:t>blocuri de locuințe (Recensământ 2011)</w:t>
      </w:r>
      <w:r w:rsidRPr="004C103A">
        <w:rPr>
          <w:iCs/>
          <w:noProof/>
          <w:szCs w:val="20"/>
          <w:lang w:eastAsia="ro-RO"/>
        </w:rPr>
        <w:t>.</w:t>
      </w:r>
    </w:p>
    <w:p w:rsidR="004C103A" w:rsidRPr="004C103A" w:rsidRDefault="004C103A" w:rsidP="004C103A">
      <w:pPr>
        <w:jc w:val="both"/>
        <w:rPr>
          <w:i/>
          <w:iCs/>
          <w:noProof/>
          <w:szCs w:val="20"/>
          <w:lang w:eastAsia="ro-RO"/>
        </w:rPr>
      </w:pPr>
      <w:r w:rsidRPr="004C103A">
        <w:rPr>
          <w:i/>
          <w:iCs/>
          <w:noProof/>
          <w:szCs w:val="20"/>
          <w:lang w:eastAsia="ro-RO"/>
        </w:rPr>
        <w:t>*Valoarea totală eligibilă, alocată pentru fiecare județ și subdiviziuni administrativ-teritoriale a rezultat din valoarea obținută prin cumularea valorii PNRR cu valoarea suplimentară acordată în baza prevederilor din OUG nr. 124/2021, din care 5% au fost realocate pentru finanțarea schemelor de ajutor de stat, în cuantum de 39.195.000 Euro.</w:t>
      </w:r>
    </w:p>
    <w:p w:rsidR="003D1371" w:rsidRDefault="004C103A" w:rsidP="003D1371">
      <w:pPr>
        <w:spacing w:before="0"/>
        <w:jc w:val="both"/>
        <w:rPr>
          <w:rFonts w:eastAsia="SimSun"/>
        </w:rPr>
      </w:pPr>
      <w:r>
        <w:rPr>
          <w:rFonts w:eastAsia="SimSun"/>
        </w:rPr>
        <w:t xml:space="preserve">Pentru municipiul București, alocarea s-a </w:t>
      </w:r>
      <w:r w:rsidR="00A05035">
        <w:rPr>
          <w:rFonts w:eastAsia="SimSun"/>
        </w:rPr>
        <w:t xml:space="preserve">redistribuit </w:t>
      </w:r>
      <w:r>
        <w:rPr>
          <w:rFonts w:eastAsia="SimSun"/>
        </w:rPr>
        <w:t xml:space="preserve">pe </w:t>
      </w:r>
      <w:r w:rsidR="00FC7791">
        <w:rPr>
          <w:rFonts w:eastAsia="SimSun"/>
        </w:rPr>
        <w:t>sectoare (subdiviziuni administrativ-</w:t>
      </w:r>
      <w:r>
        <w:rPr>
          <w:rFonts w:eastAsia="SimSun"/>
        </w:rPr>
        <w:t>teritoriale</w:t>
      </w:r>
      <w:r w:rsidR="00FC7791">
        <w:rPr>
          <w:rFonts w:eastAsia="SimSun"/>
        </w:rPr>
        <w:t>), ținând cont de aceiași trei factori, menționați mai sus.</w:t>
      </w:r>
    </w:p>
    <w:p w:rsidR="00A16BF9" w:rsidRPr="00A16BF9" w:rsidRDefault="003D1371" w:rsidP="00A16BF9">
      <w:pPr>
        <w:spacing w:before="0"/>
        <w:jc w:val="both"/>
        <w:rPr>
          <w:rFonts w:eastAsia="SimSun"/>
        </w:rPr>
      </w:pPr>
      <w:r w:rsidRPr="003D1371">
        <w:rPr>
          <w:rFonts w:eastAsia="SimSun"/>
        </w:rPr>
        <w:tab/>
      </w:r>
      <w:r w:rsidRPr="003D1371">
        <w:rPr>
          <w:rFonts w:eastAsia="SimSun"/>
        </w:rPr>
        <w:tab/>
      </w:r>
      <w:r w:rsidRPr="003D1371">
        <w:rPr>
          <w:rFonts w:eastAsia="SimSun"/>
        </w:rPr>
        <w:tab/>
      </w:r>
      <w:r w:rsidRPr="003D1371">
        <w:rPr>
          <w:rFonts w:eastAsia="SimSun"/>
        </w:rPr>
        <w:tab/>
      </w:r>
      <w:r w:rsidRPr="003D1371">
        <w:rPr>
          <w:rFonts w:eastAsia="SimSun"/>
        </w:rPr>
        <w:tab/>
      </w:r>
    </w:p>
    <w:tbl>
      <w:tblPr>
        <w:tblW w:w="9806" w:type="dxa"/>
        <w:jc w:val="center"/>
        <w:tblCellMar>
          <w:left w:w="10" w:type="dxa"/>
          <w:right w:w="10" w:type="dxa"/>
        </w:tblCellMar>
        <w:tblLook w:val="0000" w:firstRow="0" w:lastRow="0" w:firstColumn="0" w:lastColumn="0" w:noHBand="0" w:noVBand="0"/>
      </w:tblPr>
      <w:tblGrid>
        <w:gridCol w:w="2186"/>
        <w:gridCol w:w="2118"/>
        <w:gridCol w:w="2102"/>
        <w:gridCol w:w="1786"/>
        <w:gridCol w:w="1614"/>
      </w:tblGrid>
      <w:tr w:rsidR="00FC7791" w:rsidRPr="005C613A" w:rsidTr="00681530">
        <w:trPr>
          <w:trHeight w:val="300"/>
          <w:jc w:val="center"/>
        </w:trPr>
        <w:tc>
          <w:tcPr>
            <w:tcW w:w="2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pPr>
            <w:r w:rsidRPr="005C613A">
              <w:rPr>
                <w:rFonts w:eastAsia="SimSun"/>
                <w:szCs w:val="20"/>
              </w:rPr>
              <w:t>Județ</w:t>
            </w:r>
          </w:p>
        </w:tc>
        <w:tc>
          <w:tcPr>
            <w:tcW w:w="2118" w:type="dxa"/>
            <w:tcBorders>
              <w:top w:val="single" w:sz="4" w:space="0" w:color="000000"/>
              <w:left w:val="single" w:sz="4" w:space="0" w:color="000000"/>
              <w:bottom w:val="single" w:sz="4" w:space="0" w:color="auto"/>
              <w:right w:val="single" w:sz="4" w:space="0" w:color="auto"/>
            </w:tcBorders>
            <w:shd w:val="clear" w:color="auto" w:fill="FFFFFF"/>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rPr>
                <w:bCs/>
                <w:i/>
                <w:szCs w:val="20"/>
              </w:rPr>
              <w:t>Valoare eligibilă PNRR</w:t>
            </w:r>
            <w:r>
              <w:rPr>
                <w:bCs/>
                <w:i/>
                <w:szCs w:val="20"/>
              </w:rPr>
              <w:t xml:space="preserve"> renovare moderată </w:t>
            </w:r>
            <w:r w:rsidRPr="005C613A">
              <w:rPr>
                <w:bCs/>
                <w:i/>
                <w:szCs w:val="20"/>
              </w:rPr>
              <w:br/>
              <w:t>(euro)</w:t>
            </w:r>
          </w:p>
        </w:tc>
        <w:tc>
          <w:tcPr>
            <w:tcW w:w="2102" w:type="dxa"/>
            <w:tcBorders>
              <w:top w:val="single" w:sz="4" w:space="0" w:color="auto"/>
              <w:left w:val="single" w:sz="4" w:space="0" w:color="auto"/>
              <w:bottom w:val="single" w:sz="4" w:space="0" w:color="auto"/>
              <w:right w:val="single" w:sz="4" w:space="0" w:color="auto"/>
            </w:tcBorders>
            <w:shd w:val="clear" w:color="auto" w:fill="FFFFFF"/>
            <w:vAlign w:val="center"/>
          </w:tcPr>
          <w:p w:rsidR="00FC7791" w:rsidRPr="005C613A" w:rsidRDefault="00FC7791" w:rsidP="00681530">
            <w:pPr>
              <w:suppressAutoHyphens/>
              <w:autoSpaceDN w:val="0"/>
              <w:spacing w:before="0" w:after="0"/>
              <w:jc w:val="center"/>
              <w:textAlignment w:val="baseline"/>
              <w:rPr>
                <w:bCs/>
                <w:i/>
                <w:szCs w:val="20"/>
              </w:rPr>
            </w:pPr>
            <w:r w:rsidRPr="0009143B">
              <w:rPr>
                <w:bCs/>
                <w:i/>
                <w:szCs w:val="20"/>
              </w:rPr>
              <w:t>Valoare suplimentară cf. OUG 124/2021* (euro)</w:t>
            </w:r>
            <w:r w:rsidRPr="0009143B">
              <w:rPr>
                <w:bCs/>
                <w:i/>
                <w:szCs w:val="20"/>
              </w:rPr>
              <w:tab/>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tcPr>
          <w:p w:rsidR="00FC7791" w:rsidRPr="005C613A" w:rsidRDefault="00FC7791" w:rsidP="00681530">
            <w:pPr>
              <w:suppressAutoHyphens/>
              <w:autoSpaceDN w:val="0"/>
              <w:spacing w:before="0" w:after="0"/>
              <w:jc w:val="center"/>
              <w:textAlignment w:val="baseline"/>
              <w:rPr>
                <w:bCs/>
                <w:i/>
                <w:szCs w:val="20"/>
              </w:rPr>
            </w:pPr>
            <w:r>
              <w:rPr>
                <w:bCs/>
                <w:i/>
                <w:szCs w:val="20"/>
              </w:rPr>
              <w:t xml:space="preserve">Valoare cumulată </w:t>
            </w:r>
            <w:proofErr w:type="spellStart"/>
            <w:r>
              <w:rPr>
                <w:bCs/>
                <w:i/>
                <w:szCs w:val="20"/>
              </w:rPr>
              <w:t>PNRR+sume</w:t>
            </w:r>
            <w:proofErr w:type="spellEnd"/>
            <w:r>
              <w:rPr>
                <w:bCs/>
                <w:i/>
                <w:szCs w:val="20"/>
              </w:rPr>
              <w:t xml:space="preserve"> OUG 124/2021</w:t>
            </w:r>
          </w:p>
        </w:tc>
        <w:tc>
          <w:tcPr>
            <w:tcW w:w="1614" w:type="dxa"/>
            <w:tcBorders>
              <w:top w:val="single" w:sz="4" w:space="0" w:color="auto"/>
              <w:left w:val="single" w:sz="4" w:space="0" w:color="auto"/>
              <w:bottom w:val="single" w:sz="4" w:space="0" w:color="auto"/>
              <w:right w:val="single" w:sz="4" w:space="0" w:color="auto"/>
            </w:tcBorders>
            <w:shd w:val="clear" w:color="auto" w:fill="FFFFFF"/>
            <w:vAlign w:val="center"/>
          </w:tcPr>
          <w:p w:rsidR="00FC7791" w:rsidRPr="0009143B" w:rsidRDefault="00FC7791" w:rsidP="00681530">
            <w:pPr>
              <w:suppressAutoHyphens/>
              <w:autoSpaceDN w:val="0"/>
              <w:spacing w:before="0" w:after="0"/>
              <w:jc w:val="center"/>
              <w:textAlignment w:val="baseline"/>
              <w:rPr>
                <w:bCs/>
                <w:i/>
                <w:szCs w:val="20"/>
              </w:rPr>
            </w:pPr>
            <w:r w:rsidRPr="0009143B">
              <w:rPr>
                <w:bCs/>
                <w:i/>
                <w:szCs w:val="20"/>
              </w:rPr>
              <w:t>Valoare totală eligibilă</w:t>
            </w:r>
            <w:r>
              <w:rPr>
                <w:bCs/>
                <w:i/>
                <w:szCs w:val="20"/>
                <w:vertAlign w:val="superscript"/>
              </w:rPr>
              <w:t>**</w:t>
            </w:r>
            <w:r w:rsidRPr="0009143B">
              <w:rPr>
                <w:bCs/>
                <w:i/>
                <w:szCs w:val="20"/>
              </w:rPr>
              <w:t xml:space="preserve"> (euro)</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ALBA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12</w:t>
            </w:r>
            <w:r>
              <w:t>.</w:t>
            </w:r>
            <w:r w:rsidRPr="005C613A">
              <w:t>084</w:t>
            </w:r>
            <w:r>
              <w:t>.</w:t>
            </w:r>
            <w:r w:rsidRPr="005C613A">
              <w:t>299</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3.625.290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15.709.588</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14.924.109</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ARAD</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13</w:t>
            </w:r>
            <w:r>
              <w:t>.</w:t>
            </w:r>
            <w:r w:rsidRPr="005C613A">
              <w:t>223</w:t>
            </w:r>
            <w:r>
              <w:t>.</w:t>
            </w:r>
            <w:r w:rsidRPr="005C613A">
              <w:t>350</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3.967.005</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17.190.356</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16.330.838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ARGEȘ</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15</w:t>
            </w:r>
            <w:r>
              <w:t>.</w:t>
            </w:r>
            <w:r w:rsidRPr="005C613A">
              <w:t>360</w:t>
            </w:r>
            <w:r>
              <w:t>.</w:t>
            </w:r>
            <w:r w:rsidRPr="005C613A">
              <w:t>600</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4.608.180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19.968.780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18.970.341</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BACĂU</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16</w:t>
            </w:r>
            <w:r>
              <w:t>.</w:t>
            </w:r>
            <w:r w:rsidRPr="005C613A">
              <w:t>532</w:t>
            </w:r>
            <w:r>
              <w:t>.</w:t>
            </w:r>
            <w:r w:rsidRPr="005C613A">
              <w:t>023</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4.959.607</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21.491.630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20.417.048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BIHOR</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17</w:t>
            </w:r>
            <w:r>
              <w:t>.</w:t>
            </w:r>
            <w:r w:rsidRPr="005C613A">
              <w:t>123</w:t>
            </w:r>
            <w:r>
              <w:t>.</w:t>
            </w:r>
            <w:r w:rsidRPr="005C613A">
              <w:t>823</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5.137.147</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22.260.970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21.147.921</w:t>
            </w:r>
          </w:p>
        </w:tc>
      </w:tr>
      <w:tr w:rsidR="00FC7791" w:rsidRPr="002874AD" w:rsidTr="00681530">
        <w:trPr>
          <w:trHeight w:val="33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BISTRIȚA-NĂSĂUD</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877</w:t>
            </w:r>
            <w:r>
              <w:t>.</w:t>
            </w:r>
            <w:r w:rsidRPr="005C613A">
              <w:t>535</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2.963.260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12.840.795</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12.198.755</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BOTOȘANI</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11</w:t>
            </w:r>
            <w:r>
              <w:t>.</w:t>
            </w:r>
            <w:r w:rsidRPr="005C613A">
              <w:t>959</w:t>
            </w:r>
            <w:r>
              <w:t>.</w:t>
            </w:r>
            <w:r w:rsidRPr="005C613A">
              <w:t>933</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3.587.980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15.547.913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14.770.517</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BRAȘOV</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18</w:t>
            </w:r>
            <w:r>
              <w:t>.</w:t>
            </w:r>
            <w:r w:rsidRPr="005C613A">
              <w:t>117</w:t>
            </w:r>
            <w:r>
              <w:t>.</w:t>
            </w:r>
            <w:r w:rsidRPr="005C613A">
              <w:t>727</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5.435.318</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23.553.045</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22.375.392</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BRĂILA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10</w:t>
            </w:r>
            <w:r>
              <w:t>.</w:t>
            </w:r>
            <w:r w:rsidRPr="005C613A">
              <w:t>256</w:t>
            </w:r>
            <w:r>
              <w:t>.</w:t>
            </w:r>
            <w:r w:rsidRPr="005C613A">
              <w:t>516</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3.076.955</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13.333.471</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12.666.798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BUZĂU</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13</w:t>
            </w:r>
            <w:r>
              <w:t>.</w:t>
            </w:r>
            <w:r w:rsidRPr="005C613A">
              <w:t>242</w:t>
            </w:r>
            <w:r>
              <w:t>.</w:t>
            </w:r>
            <w:r w:rsidRPr="005C613A">
              <w:t>339</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3.972.702</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17.215.041</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16.354.289</w:t>
            </w:r>
          </w:p>
        </w:tc>
      </w:tr>
      <w:tr w:rsidR="00FC7791" w:rsidRPr="002874AD" w:rsidTr="00681530">
        <w:trPr>
          <w:trHeight w:val="33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CARAȘ-SEVERIN</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10</w:t>
            </w:r>
            <w:r>
              <w:t>.</w:t>
            </w:r>
            <w:r w:rsidRPr="005C613A">
              <w:t>965</w:t>
            </w:r>
            <w:r>
              <w:t>.</w:t>
            </w:r>
            <w:r w:rsidRPr="005C613A">
              <w:t>426</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3.289.628</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14.255.054</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13.542.301</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CĂLĂRAȘI</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668</w:t>
            </w:r>
            <w:r>
              <w:t>.</w:t>
            </w:r>
            <w:r w:rsidRPr="005C613A">
              <w:t>295</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2.900.488</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12.568.783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11.940.344</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CLUJ</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20</w:t>
            </w:r>
            <w:r>
              <w:t>.</w:t>
            </w:r>
            <w:r w:rsidRPr="005C613A">
              <w:t>912</w:t>
            </w:r>
            <w:r>
              <w:t>.</w:t>
            </w:r>
            <w:r w:rsidRPr="005C613A">
              <w:t>680</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6.273.804</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27.186.483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25.827.159</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CONSTANȚA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18</w:t>
            </w:r>
            <w:r>
              <w:t>.</w:t>
            </w:r>
            <w:r w:rsidRPr="005C613A">
              <w:t>936</w:t>
            </w:r>
            <w:r>
              <w:t>.</w:t>
            </w:r>
            <w:r w:rsidRPr="005C613A">
              <w:t>593</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5.680.978</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24.617.570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23.386.692</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COVASNA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029</w:t>
            </w:r>
            <w:r>
              <w:t>.</w:t>
            </w:r>
            <w:r w:rsidRPr="005C613A">
              <w:t>241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2.708.772</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11.738.013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11.151.112</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DÂMBOVIȚA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13</w:t>
            </w:r>
            <w:r>
              <w:t>.</w:t>
            </w:r>
            <w:r w:rsidRPr="005C613A">
              <w:t>151</w:t>
            </w:r>
            <w:r>
              <w:t>.</w:t>
            </w:r>
            <w:r w:rsidRPr="005C613A">
              <w:t>869</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3.945.561</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17.097.430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16.242.558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DOLJ</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18</w:t>
            </w:r>
            <w:r>
              <w:t>.</w:t>
            </w:r>
            <w:r w:rsidRPr="005C613A">
              <w:t>017</w:t>
            </w:r>
            <w:r>
              <w:t>.</w:t>
            </w:r>
            <w:r w:rsidRPr="005C613A">
              <w:t>387</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5.405.216</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23.422.603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22.251.473</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GALAȚI</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14</w:t>
            </w:r>
            <w:r>
              <w:t>.</w:t>
            </w:r>
            <w:r w:rsidRPr="005C613A">
              <w:t>250</w:t>
            </w:r>
            <w:r>
              <w:t>.</w:t>
            </w:r>
            <w:r w:rsidRPr="005C613A">
              <w:t>331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4.275.099</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18.525.430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17.599.158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GIURGIU</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048</w:t>
            </w:r>
            <w:r>
              <w:t>.</w:t>
            </w:r>
            <w:r w:rsidRPr="005C613A">
              <w:t>202</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2.714.460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11.762.662</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11.174.529</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GORJ</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10</w:t>
            </w:r>
            <w:r>
              <w:t>.</w:t>
            </w:r>
            <w:r w:rsidRPr="005C613A">
              <w:t>509</w:t>
            </w:r>
            <w:r>
              <w:t>.</w:t>
            </w:r>
            <w:r w:rsidRPr="005C613A">
              <w:t>901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3.152.970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13.662.871</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12.979.728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lastRenderedPageBreak/>
              <w:t>HARGHITA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10</w:t>
            </w:r>
            <w:r>
              <w:t>.</w:t>
            </w:r>
            <w:r w:rsidRPr="005C613A">
              <w:t>894</w:t>
            </w:r>
            <w:r>
              <w:t>.</w:t>
            </w:r>
            <w:r w:rsidRPr="005C613A">
              <w:t>602</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3.268.381</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14.162.983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13.454.834</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HUNEDOARA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14</w:t>
            </w:r>
            <w:r>
              <w:t>.</w:t>
            </w:r>
            <w:r w:rsidRPr="005C613A">
              <w:t>360</w:t>
            </w:r>
            <w:r>
              <w:t>.</w:t>
            </w:r>
            <w:r w:rsidRPr="005C613A">
              <w:t>444</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4.308.133</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18.668.578</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17.735.149</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IALOMIȚA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689</w:t>
            </w:r>
            <w:r>
              <w:t>.</w:t>
            </w:r>
            <w:r w:rsidRPr="005C613A">
              <w:t>742</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2.906.923</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12.596.664</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11.966.831</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IAȘI</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19</w:t>
            </w:r>
            <w:r>
              <w:t>.</w:t>
            </w:r>
            <w:r w:rsidRPr="005C613A">
              <w:t>363</w:t>
            </w:r>
            <w:r>
              <w:t>.</w:t>
            </w:r>
            <w:r w:rsidRPr="005C613A">
              <w:t>608</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5.809.082</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25.172.690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23.914.056</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ILFOV</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13</w:t>
            </w:r>
            <w:r>
              <w:t>.</w:t>
            </w:r>
            <w:r w:rsidRPr="005C613A">
              <w:t>172</w:t>
            </w:r>
            <w:r>
              <w:t>.</w:t>
            </w:r>
            <w:r w:rsidRPr="005C613A">
              <w:t>257</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3.951.677</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17.123.934</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16.267.737</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MARAMUREȘ</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13</w:t>
            </w:r>
            <w:r>
              <w:t>.</w:t>
            </w:r>
            <w:r w:rsidRPr="005C613A">
              <w:t>579</w:t>
            </w:r>
            <w:r>
              <w:t>.</w:t>
            </w:r>
            <w:r w:rsidRPr="005C613A">
              <w:t>835</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4.073.950</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17.653.785</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16.771.096</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MEHEDINȚI</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444</w:t>
            </w:r>
            <w:r>
              <w:t>.</w:t>
            </w:r>
            <w:r w:rsidRPr="005C613A">
              <w:t>748</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2.833.424</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12.278.172</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11.664.264</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MUREȘ</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17</w:t>
            </w:r>
            <w:r>
              <w:t>.</w:t>
            </w:r>
            <w:r w:rsidRPr="005C613A">
              <w:t>090</w:t>
            </w:r>
            <w:r>
              <w:t>.</w:t>
            </w:r>
            <w:r w:rsidRPr="005C613A">
              <w:t>016</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5.127.005</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22.217.021</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21.106.170</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NEAMȚ</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12</w:t>
            </w:r>
            <w:r>
              <w:t>.</w:t>
            </w:r>
            <w:r w:rsidRPr="005C613A">
              <w:t>995</w:t>
            </w:r>
            <w:r>
              <w:t>.</w:t>
            </w:r>
            <w:r w:rsidRPr="005C613A">
              <w:t>023</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3.898.507</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16.893.530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16.048.853</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OLT</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11</w:t>
            </w:r>
            <w:r>
              <w:t>.</w:t>
            </w:r>
            <w:r w:rsidRPr="005C613A">
              <w:t>920</w:t>
            </w:r>
            <w:r>
              <w:t>.</w:t>
            </w:r>
            <w:r w:rsidRPr="005C613A">
              <w:t>989</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3.576.297</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15.497.286</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14.722.421</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PRAHOVA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18</w:t>
            </w:r>
            <w:r>
              <w:t>.</w:t>
            </w:r>
            <w:r w:rsidRPr="005C613A">
              <w:t>950</w:t>
            </w:r>
            <w:r>
              <w:t>.</w:t>
            </w:r>
            <w:r w:rsidRPr="005C613A">
              <w:t>152</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5.685.046</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24.635.197</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23.403.437</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SATU MARE</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12</w:t>
            </w:r>
            <w:r>
              <w:t>.</w:t>
            </w:r>
            <w:r w:rsidRPr="005C613A">
              <w:t>332</w:t>
            </w:r>
            <w:r>
              <w:t>.</w:t>
            </w:r>
            <w:r w:rsidRPr="005C613A">
              <w:t>225</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3.699.667</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16.031.892</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15.230.298</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SĂLAJ</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9</w:t>
            </w:r>
            <w:r>
              <w:t>.</w:t>
            </w:r>
            <w:r w:rsidRPr="005C613A">
              <w:t>714</w:t>
            </w:r>
            <w:r>
              <w:t>.</w:t>
            </w:r>
            <w:r w:rsidRPr="005C613A">
              <w:t>945</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2.914.484</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12.629.429</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11.997.957</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SIBIU</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13</w:t>
            </w:r>
            <w:r>
              <w:t>.</w:t>
            </w:r>
            <w:r w:rsidRPr="005C613A">
              <w:t>213</w:t>
            </w:r>
            <w:r>
              <w:t>.</w:t>
            </w:r>
            <w:r w:rsidRPr="005C613A">
              <w:t>041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3.963.912</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17.176.953</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16.318.105</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SUCEAVA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15</w:t>
            </w:r>
            <w:r>
              <w:t>.</w:t>
            </w:r>
            <w:r w:rsidRPr="005C613A">
              <w:t>939</w:t>
            </w:r>
            <w:r>
              <w:t>.</w:t>
            </w:r>
            <w:r w:rsidRPr="005C613A">
              <w:t>155</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4.781.746</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20.720.901</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19.684.856</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TELEORMAN</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10</w:t>
            </w:r>
            <w:r>
              <w:t>.</w:t>
            </w:r>
            <w:r w:rsidRPr="005C613A">
              <w:t>476</w:t>
            </w:r>
            <w:r>
              <w:t>.</w:t>
            </w:r>
            <w:r w:rsidRPr="005C613A">
              <w:t>651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3.142.995</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13.619.646</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12.938.663</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TIMIȘ</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21</w:t>
            </w:r>
            <w:r>
              <w:t>.</w:t>
            </w:r>
            <w:r w:rsidRPr="005C613A">
              <w:t>836</w:t>
            </w:r>
            <w:r>
              <w:t>.</w:t>
            </w:r>
            <w:r w:rsidRPr="005C613A">
              <w:t>283</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6.550.885</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28.387.168</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26.967.810</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TULCEA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8</w:t>
            </w:r>
            <w:r>
              <w:t>.</w:t>
            </w:r>
            <w:r w:rsidRPr="005C613A">
              <w:t>554</w:t>
            </w:r>
            <w:r>
              <w:t>.</w:t>
            </w:r>
            <w:r w:rsidRPr="005C613A">
              <w:t>207</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2.566.262</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11.120.470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10.564.446</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VASLUI</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11</w:t>
            </w:r>
            <w:r>
              <w:t>.</w:t>
            </w:r>
            <w:r w:rsidRPr="005C613A">
              <w:t>242</w:t>
            </w:r>
            <w:r>
              <w:t>.</w:t>
            </w:r>
            <w:r w:rsidRPr="005C613A">
              <w:t>114</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3.372.634</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14.614.748</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13.884.011</w:t>
            </w:r>
          </w:p>
        </w:tc>
      </w:tr>
      <w:tr w:rsidR="00FC7791" w:rsidRPr="002874AD" w:rsidTr="00681530">
        <w:trPr>
          <w:trHeight w:val="300"/>
          <w:jc w:val="center"/>
        </w:trPr>
        <w:tc>
          <w:tcPr>
            <w:tcW w:w="218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VÂLCEA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10</w:t>
            </w:r>
            <w:r>
              <w:t>.</w:t>
            </w:r>
            <w:r w:rsidRPr="005C613A">
              <w:t>842</w:t>
            </w:r>
            <w:r>
              <w:t>.</w:t>
            </w:r>
            <w:r w:rsidRPr="005C613A">
              <w:t>070</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3.252.621</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14.094.691</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13.389.956</w:t>
            </w:r>
          </w:p>
        </w:tc>
      </w:tr>
      <w:tr w:rsidR="00FC7791" w:rsidRPr="002874AD" w:rsidTr="00681530">
        <w:trPr>
          <w:trHeight w:val="217"/>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rPr>
                <w:szCs w:val="20"/>
              </w:rPr>
            </w:pPr>
            <w:r w:rsidRPr="005C613A">
              <w:t>VRANCEA</w:t>
            </w:r>
          </w:p>
        </w:tc>
        <w:tc>
          <w:tcPr>
            <w:tcW w:w="211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5C613A">
              <w:t>11</w:t>
            </w:r>
            <w:r>
              <w:t>.</w:t>
            </w:r>
            <w:r w:rsidRPr="005C613A">
              <w:t>764</w:t>
            </w:r>
            <w:r>
              <w:t>.</w:t>
            </w:r>
            <w:r w:rsidRPr="005C613A">
              <w:t>743</w:t>
            </w:r>
          </w:p>
        </w:tc>
        <w:tc>
          <w:tcPr>
            <w:tcW w:w="2102" w:type="dxa"/>
            <w:tcBorders>
              <w:top w:val="single" w:sz="4" w:space="0" w:color="auto"/>
              <w:left w:val="nil"/>
              <w:bottom w:val="single" w:sz="4" w:space="0" w:color="auto"/>
              <w:right w:val="single" w:sz="4" w:space="0" w:color="auto"/>
            </w:tcBorders>
            <w:vAlign w:val="center"/>
          </w:tcPr>
          <w:p w:rsidR="00FC7791" w:rsidRPr="005C613A" w:rsidRDefault="00FC7791" w:rsidP="00681530">
            <w:pPr>
              <w:suppressAutoHyphens/>
              <w:autoSpaceDN w:val="0"/>
              <w:spacing w:before="0" w:after="0"/>
              <w:jc w:val="center"/>
              <w:textAlignment w:val="baseline"/>
            </w:pPr>
            <w:r w:rsidRPr="00682BD9">
              <w:t>3.529.423</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15.294.166</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5C613A" w:rsidRDefault="00FC7791" w:rsidP="00681530">
            <w:pPr>
              <w:suppressAutoHyphens/>
              <w:autoSpaceDN w:val="0"/>
              <w:spacing w:before="0" w:after="0"/>
              <w:jc w:val="center"/>
              <w:textAlignment w:val="baseline"/>
            </w:pPr>
            <w:r w:rsidRPr="00682BD9">
              <w:t>14.529.458</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textAlignment w:val="baseline"/>
            </w:pPr>
            <w:r>
              <w:t>BUCUREȘTI – sector 1</w:t>
            </w:r>
          </w:p>
        </w:tc>
        <w:tc>
          <w:tcPr>
            <w:tcW w:w="2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5C613A" w:rsidRDefault="00FC7791" w:rsidP="00681530">
            <w:pPr>
              <w:suppressAutoHyphens/>
              <w:autoSpaceDN w:val="0"/>
              <w:spacing w:before="0" w:after="0"/>
              <w:jc w:val="center"/>
              <w:textAlignment w:val="baseline"/>
            </w:pPr>
            <w:r w:rsidRPr="00682BD9">
              <w:t>8</w:t>
            </w:r>
            <w:r>
              <w:t>.</w:t>
            </w:r>
            <w:r w:rsidRPr="00682BD9">
              <w:t>541</w:t>
            </w:r>
            <w:r>
              <w:t>.</w:t>
            </w:r>
            <w:r w:rsidRPr="00682BD9">
              <w:t>337</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2</w:t>
            </w:r>
            <w:r>
              <w:t>.</w:t>
            </w:r>
            <w:r w:rsidRPr="00682BD9">
              <w:t>562</w:t>
            </w:r>
            <w:r>
              <w:t>.</w:t>
            </w:r>
            <w:r w:rsidRPr="00682BD9">
              <w:t xml:space="preserve">401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11</w:t>
            </w:r>
            <w:r>
              <w:t>.</w:t>
            </w:r>
            <w:r w:rsidRPr="00682BD9">
              <w:t>103</w:t>
            </w:r>
            <w:r>
              <w:t>.</w:t>
            </w:r>
            <w:r w:rsidRPr="00682BD9">
              <w:t xml:space="preserve">738     </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10</w:t>
            </w:r>
            <w:r>
              <w:t>.</w:t>
            </w:r>
            <w:r w:rsidRPr="00682BD9">
              <w:t>548</w:t>
            </w:r>
            <w:r>
              <w:t>.</w:t>
            </w:r>
            <w:r w:rsidRPr="00682BD9">
              <w:t xml:space="preserve">551     </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Default="00FC7791" w:rsidP="00681530">
            <w:pPr>
              <w:suppressAutoHyphens/>
              <w:autoSpaceDN w:val="0"/>
              <w:spacing w:before="0" w:after="0"/>
              <w:textAlignment w:val="baseline"/>
            </w:pPr>
            <w:r>
              <w:t>BUCUREȘTI – sector 2</w:t>
            </w:r>
          </w:p>
        </w:tc>
        <w:tc>
          <w:tcPr>
            <w:tcW w:w="211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175AD5" w:rsidRDefault="00FC7791" w:rsidP="00681530">
            <w:pPr>
              <w:suppressAutoHyphens/>
              <w:autoSpaceDN w:val="0"/>
              <w:spacing w:before="0" w:after="0"/>
              <w:jc w:val="center"/>
              <w:textAlignment w:val="baseline"/>
            </w:pPr>
            <w:r w:rsidRPr="00682BD9">
              <w:t>9</w:t>
            </w:r>
            <w:r>
              <w:t>.</w:t>
            </w:r>
            <w:r w:rsidRPr="00682BD9">
              <w:t>592</w:t>
            </w:r>
            <w:r>
              <w:t>.</w:t>
            </w:r>
            <w:r w:rsidRPr="00682BD9">
              <w:t>049</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2</w:t>
            </w:r>
            <w:r>
              <w:t>.</w:t>
            </w:r>
            <w:r w:rsidRPr="00682BD9">
              <w:t>877</w:t>
            </w:r>
            <w:r>
              <w:t>.</w:t>
            </w:r>
            <w:r w:rsidRPr="00682BD9">
              <w:t xml:space="preserve">615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12</w:t>
            </w:r>
            <w:r>
              <w:t>.</w:t>
            </w:r>
            <w:r w:rsidRPr="00682BD9">
              <w:t>469</w:t>
            </w:r>
            <w:r>
              <w:t>.</w:t>
            </w:r>
            <w:r w:rsidRPr="00682BD9">
              <w:t xml:space="preserve">663     </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11</w:t>
            </w:r>
            <w:r>
              <w:t>.</w:t>
            </w:r>
            <w:r w:rsidRPr="00682BD9">
              <w:t>846</w:t>
            </w:r>
            <w:r>
              <w:t>.</w:t>
            </w:r>
            <w:r w:rsidRPr="00682BD9">
              <w:t xml:space="preserve">180     </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Default="00FC7791" w:rsidP="00681530">
            <w:pPr>
              <w:suppressAutoHyphens/>
              <w:autoSpaceDN w:val="0"/>
              <w:spacing w:before="0" w:after="0"/>
              <w:textAlignment w:val="baseline"/>
            </w:pPr>
            <w:r>
              <w:t>BUCUREȘTI – sector 3</w:t>
            </w:r>
          </w:p>
        </w:tc>
        <w:tc>
          <w:tcPr>
            <w:tcW w:w="211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175AD5" w:rsidRDefault="00FC7791" w:rsidP="00681530">
            <w:pPr>
              <w:suppressAutoHyphens/>
              <w:autoSpaceDN w:val="0"/>
              <w:spacing w:before="0" w:after="0"/>
              <w:jc w:val="center"/>
              <w:textAlignment w:val="baseline"/>
            </w:pPr>
            <w:r w:rsidRPr="00682BD9">
              <w:t>10</w:t>
            </w:r>
            <w:r>
              <w:t>.</w:t>
            </w:r>
            <w:r w:rsidRPr="00682BD9">
              <w:t>328</w:t>
            </w:r>
            <w:r>
              <w:t>.</w:t>
            </w:r>
            <w:r w:rsidRPr="00682BD9">
              <w:t>291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3</w:t>
            </w:r>
            <w:r>
              <w:t>.</w:t>
            </w:r>
            <w:r w:rsidRPr="00682BD9">
              <w:t>098</w:t>
            </w:r>
            <w:r>
              <w:t>.</w:t>
            </w:r>
            <w:r w:rsidRPr="00682BD9">
              <w:t xml:space="preserve">487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13</w:t>
            </w:r>
            <w:r>
              <w:t>.</w:t>
            </w:r>
            <w:r w:rsidRPr="00682BD9">
              <w:t>426</w:t>
            </w:r>
            <w:r>
              <w:t>.</w:t>
            </w:r>
            <w:r w:rsidRPr="00682BD9">
              <w:t>77</w:t>
            </w:r>
            <w:r>
              <w:t>8</w:t>
            </w:r>
            <w:r w:rsidRPr="00682BD9">
              <w:t xml:space="preserve">     </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12</w:t>
            </w:r>
            <w:r>
              <w:t>.</w:t>
            </w:r>
            <w:r w:rsidRPr="00682BD9">
              <w:t>755</w:t>
            </w:r>
            <w:r>
              <w:t>.</w:t>
            </w:r>
            <w:r w:rsidRPr="00682BD9">
              <w:t xml:space="preserve">440     </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Default="00FC7791" w:rsidP="00681530">
            <w:pPr>
              <w:suppressAutoHyphens/>
              <w:autoSpaceDN w:val="0"/>
              <w:spacing w:before="0" w:after="0"/>
              <w:textAlignment w:val="baseline"/>
            </w:pPr>
            <w:r>
              <w:t>BUCUREȘTI – sector 4</w:t>
            </w:r>
          </w:p>
        </w:tc>
        <w:tc>
          <w:tcPr>
            <w:tcW w:w="211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175AD5" w:rsidRDefault="00FC7791" w:rsidP="00681530">
            <w:pPr>
              <w:suppressAutoHyphens/>
              <w:autoSpaceDN w:val="0"/>
              <w:spacing w:before="0" w:after="0"/>
              <w:jc w:val="center"/>
              <w:textAlignment w:val="baseline"/>
            </w:pPr>
            <w:r w:rsidRPr="00682BD9">
              <w:t>8</w:t>
            </w:r>
            <w:r>
              <w:t>.</w:t>
            </w:r>
            <w:r w:rsidRPr="00682BD9">
              <w:t>154</w:t>
            </w:r>
            <w:r>
              <w:t>.</w:t>
            </w:r>
            <w:r w:rsidRPr="00682BD9">
              <w:t>519</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 xml:space="preserve">  2</w:t>
            </w:r>
            <w:r>
              <w:t>.</w:t>
            </w:r>
            <w:r w:rsidRPr="00682BD9">
              <w:t xml:space="preserve">446,356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 xml:space="preserve"> 10</w:t>
            </w:r>
            <w:r>
              <w:t>.</w:t>
            </w:r>
            <w:r w:rsidRPr="00682BD9">
              <w:t>600</w:t>
            </w:r>
            <w:r>
              <w:t>.</w:t>
            </w:r>
            <w:r w:rsidRPr="00682BD9">
              <w:t>87</w:t>
            </w:r>
            <w:r>
              <w:t>5</w:t>
            </w:r>
            <w:r w:rsidRPr="00682BD9">
              <w:t xml:space="preserve">     </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10</w:t>
            </w:r>
            <w:r>
              <w:t>.</w:t>
            </w:r>
            <w:r w:rsidRPr="00682BD9">
              <w:t>070</w:t>
            </w:r>
            <w:r>
              <w:t>.</w:t>
            </w:r>
            <w:r w:rsidRPr="00682BD9">
              <w:t xml:space="preserve">831     </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Default="00FC7791" w:rsidP="00681530">
            <w:pPr>
              <w:suppressAutoHyphens/>
              <w:autoSpaceDN w:val="0"/>
              <w:spacing w:before="0" w:after="0"/>
              <w:textAlignment w:val="baseline"/>
            </w:pPr>
            <w:r>
              <w:t>BUCUREȘTI – sector 5</w:t>
            </w:r>
          </w:p>
        </w:tc>
        <w:tc>
          <w:tcPr>
            <w:tcW w:w="211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175AD5" w:rsidRDefault="00FC7791" w:rsidP="00681530">
            <w:pPr>
              <w:suppressAutoHyphens/>
              <w:autoSpaceDN w:val="0"/>
              <w:spacing w:before="0" w:after="0"/>
              <w:jc w:val="center"/>
              <w:textAlignment w:val="baseline"/>
            </w:pPr>
            <w:r w:rsidRPr="00682BD9">
              <w:t>7</w:t>
            </w:r>
            <w:r>
              <w:t>.</w:t>
            </w:r>
            <w:r w:rsidRPr="00682BD9">
              <w:t>777</w:t>
            </w:r>
            <w:r>
              <w:t>.</w:t>
            </w:r>
            <w:r w:rsidRPr="00682BD9">
              <w:t>307</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 xml:space="preserve">  2</w:t>
            </w:r>
            <w:r>
              <w:t>.</w:t>
            </w:r>
            <w:r w:rsidRPr="00682BD9">
              <w:t xml:space="preserve">333,192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10</w:t>
            </w:r>
            <w:r>
              <w:t>.</w:t>
            </w:r>
            <w:r w:rsidRPr="00682BD9">
              <w:t>110</w:t>
            </w:r>
            <w:r>
              <w:t>.</w:t>
            </w:r>
            <w:r w:rsidRPr="00682BD9">
              <w:t xml:space="preserve">499     </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 xml:space="preserve"> 9</w:t>
            </w:r>
            <w:r>
              <w:t>.</w:t>
            </w:r>
            <w:r w:rsidRPr="00682BD9">
              <w:t>604</w:t>
            </w:r>
            <w:r>
              <w:t>.</w:t>
            </w:r>
            <w:r w:rsidRPr="00682BD9">
              <w:t xml:space="preserve">974     </w:t>
            </w:r>
          </w:p>
        </w:tc>
      </w:tr>
      <w:tr w:rsidR="00FC7791" w:rsidRPr="002874AD" w:rsidTr="00681530">
        <w:trPr>
          <w:trHeight w:val="300"/>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Default="00FC7791" w:rsidP="00681530">
            <w:pPr>
              <w:suppressAutoHyphens/>
              <w:autoSpaceDN w:val="0"/>
              <w:spacing w:before="0" w:after="0"/>
              <w:textAlignment w:val="baseline"/>
            </w:pPr>
            <w:r>
              <w:t>BUCUREȘTI – sector 6</w:t>
            </w:r>
          </w:p>
        </w:tc>
        <w:tc>
          <w:tcPr>
            <w:tcW w:w="2118"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C7791" w:rsidRPr="00175AD5" w:rsidRDefault="00FC7791" w:rsidP="00681530">
            <w:pPr>
              <w:suppressAutoHyphens/>
              <w:autoSpaceDN w:val="0"/>
              <w:spacing w:before="0" w:after="0"/>
              <w:jc w:val="center"/>
              <w:textAlignment w:val="baseline"/>
            </w:pPr>
            <w:r w:rsidRPr="00682BD9">
              <w:t>8</w:t>
            </w:r>
            <w:r>
              <w:t>.</w:t>
            </w:r>
            <w:r w:rsidRPr="00682BD9">
              <w:t>961</w:t>
            </w:r>
            <w:r>
              <w:t>.</w:t>
            </w:r>
            <w:r w:rsidRPr="00682BD9">
              <w:t>581</w:t>
            </w:r>
          </w:p>
        </w:tc>
        <w:tc>
          <w:tcPr>
            <w:tcW w:w="2102" w:type="dxa"/>
            <w:tcBorders>
              <w:top w:val="single" w:sz="4" w:space="0" w:color="auto"/>
              <w:left w:val="nil"/>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 xml:space="preserve">    2</w:t>
            </w:r>
            <w:r>
              <w:t>.</w:t>
            </w:r>
            <w:r w:rsidRPr="00682BD9">
              <w:t xml:space="preserve">688,474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11</w:t>
            </w:r>
            <w:r>
              <w:t>.</w:t>
            </w:r>
            <w:r w:rsidRPr="00682BD9">
              <w:t>650</w:t>
            </w:r>
            <w:r>
              <w:t>.</w:t>
            </w:r>
            <w:r w:rsidRPr="00682BD9">
              <w:t xml:space="preserve">055     </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FC7791" w:rsidRPr="00175AD5" w:rsidRDefault="00FC7791" w:rsidP="00681530">
            <w:pPr>
              <w:suppressAutoHyphens/>
              <w:autoSpaceDN w:val="0"/>
              <w:spacing w:before="0" w:after="0"/>
              <w:jc w:val="center"/>
              <w:textAlignment w:val="baseline"/>
            </w:pPr>
            <w:r w:rsidRPr="00682BD9">
              <w:t>11</w:t>
            </w:r>
            <w:r>
              <w:t>.</w:t>
            </w:r>
            <w:r w:rsidRPr="00682BD9">
              <w:t>067</w:t>
            </w:r>
            <w:r>
              <w:t>.</w:t>
            </w:r>
            <w:r w:rsidRPr="00682BD9">
              <w:t xml:space="preserve">552     </w:t>
            </w:r>
          </w:p>
        </w:tc>
      </w:tr>
      <w:bookmarkEnd w:id="0"/>
    </w:tbl>
    <w:p w:rsidR="00FC7791" w:rsidRDefault="00FC7791" w:rsidP="00017B51">
      <w:pPr>
        <w:spacing w:before="0"/>
        <w:jc w:val="both"/>
        <w:rPr>
          <w:rFonts w:eastAsia="SimSun"/>
          <w:b/>
        </w:rPr>
      </w:pPr>
    </w:p>
    <w:p w:rsidR="00017B51" w:rsidRDefault="00FC7791" w:rsidP="00017B51">
      <w:pPr>
        <w:spacing w:before="0"/>
        <w:jc w:val="both"/>
        <w:rPr>
          <w:rFonts w:eastAsia="SimSun"/>
          <w:b/>
        </w:rPr>
      </w:pPr>
      <w:r w:rsidRPr="004C103A">
        <w:rPr>
          <w:iCs/>
          <w:noProof/>
          <w:szCs w:val="20"/>
          <w:lang w:eastAsia="ro-RO"/>
        </w:rPr>
        <w:t xml:space="preserve">Alocare pentru </w:t>
      </w:r>
      <w:r w:rsidRPr="004C103A">
        <w:rPr>
          <w:b/>
          <w:iCs/>
          <w:noProof/>
          <w:szCs w:val="20"/>
          <w:lang w:eastAsia="ro-RO"/>
        </w:rPr>
        <w:t>finanțarea schemelor de ajutor de stat în cuantum de 39.195.000 Euro</w:t>
      </w:r>
      <w:r>
        <w:rPr>
          <w:b/>
          <w:iCs/>
          <w:noProof/>
          <w:szCs w:val="20"/>
          <w:lang w:eastAsia="ro-RO"/>
        </w:rPr>
        <w:t xml:space="preserve"> va fi pusă la dispoziția tuturor solicitanților, funcție de necesarul identificat în cadrul proiectelor.</w:t>
      </w:r>
    </w:p>
    <w:p w:rsidR="007447BE" w:rsidRDefault="007447BE" w:rsidP="007447BE">
      <w:pPr>
        <w:spacing w:before="0"/>
        <w:jc w:val="both"/>
        <w:rPr>
          <w:rFonts w:eastAsia="SimSun"/>
          <w:b/>
          <w:bCs/>
          <w:lang w:val="en-US"/>
        </w:rPr>
      </w:pPr>
      <w:proofErr w:type="spellStart"/>
      <w:r>
        <w:rPr>
          <w:rFonts w:eastAsia="SimSun"/>
          <w:b/>
          <w:bCs/>
          <w:lang w:val="en-US"/>
        </w:rPr>
        <w:t>După</w:t>
      </w:r>
      <w:proofErr w:type="spellEnd"/>
      <w:r>
        <w:rPr>
          <w:rFonts w:eastAsia="SimSun"/>
          <w:b/>
          <w:bCs/>
          <w:lang w:val="en-US"/>
        </w:rPr>
        <w:t xml:space="preserve"> prima </w:t>
      </w:r>
      <w:proofErr w:type="spellStart"/>
      <w:r>
        <w:rPr>
          <w:rFonts w:eastAsia="SimSun"/>
          <w:b/>
          <w:bCs/>
          <w:lang w:val="en-US"/>
        </w:rPr>
        <w:t>rundă</w:t>
      </w:r>
      <w:proofErr w:type="spellEnd"/>
      <w:r>
        <w:rPr>
          <w:rFonts w:eastAsia="SimSun"/>
          <w:b/>
          <w:bCs/>
          <w:lang w:val="en-US"/>
        </w:rPr>
        <w:t xml:space="preserve">, </w:t>
      </w:r>
      <w:proofErr w:type="spellStart"/>
      <w:r>
        <w:rPr>
          <w:rFonts w:eastAsia="SimSun"/>
          <w:b/>
          <w:bCs/>
          <w:lang w:val="en-US"/>
        </w:rPr>
        <w:t>dacă</w:t>
      </w:r>
      <w:proofErr w:type="spellEnd"/>
      <w:r>
        <w:rPr>
          <w:rFonts w:eastAsia="SimSun"/>
          <w:b/>
          <w:bCs/>
          <w:lang w:val="en-US"/>
        </w:rPr>
        <w:t xml:space="preserve"> </w:t>
      </w:r>
      <w:proofErr w:type="spellStart"/>
      <w:r>
        <w:rPr>
          <w:rFonts w:eastAsia="SimSun"/>
          <w:b/>
          <w:bCs/>
          <w:lang w:val="en-US"/>
        </w:rPr>
        <w:t>suma</w:t>
      </w:r>
      <w:proofErr w:type="spellEnd"/>
      <w:r>
        <w:rPr>
          <w:rFonts w:eastAsia="SimSun"/>
          <w:b/>
          <w:bCs/>
          <w:lang w:val="en-US"/>
        </w:rPr>
        <w:t xml:space="preserve"> </w:t>
      </w:r>
      <w:proofErr w:type="spellStart"/>
      <w:r>
        <w:rPr>
          <w:rFonts w:eastAsia="SimSun"/>
          <w:b/>
          <w:bCs/>
          <w:lang w:val="en-US"/>
        </w:rPr>
        <w:t>aferentă</w:t>
      </w:r>
      <w:proofErr w:type="spellEnd"/>
      <w:r>
        <w:rPr>
          <w:rFonts w:eastAsia="SimSun"/>
          <w:b/>
          <w:bCs/>
          <w:lang w:val="en-US"/>
        </w:rPr>
        <w:t xml:space="preserve"> </w:t>
      </w:r>
      <w:proofErr w:type="spellStart"/>
      <w:r>
        <w:rPr>
          <w:rFonts w:eastAsia="SimSun"/>
          <w:b/>
          <w:bCs/>
          <w:lang w:val="en-US"/>
        </w:rPr>
        <w:t>finanțării</w:t>
      </w:r>
      <w:proofErr w:type="spellEnd"/>
      <w:r>
        <w:rPr>
          <w:rFonts w:eastAsia="SimSun"/>
          <w:b/>
          <w:bCs/>
          <w:lang w:val="en-US"/>
        </w:rPr>
        <w:t xml:space="preserve"> </w:t>
      </w:r>
      <w:proofErr w:type="spellStart"/>
      <w:r>
        <w:rPr>
          <w:rFonts w:eastAsia="SimSun"/>
          <w:b/>
          <w:bCs/>
          <w:lang w:val="en-US"/>
        </w:rPr>
        <w:t>ajutorului</w:t>
      </w:r>
      <w:proofErr w:type="spellEnd"/>
      <w:r>
        <w:rPr>
          <w:rFonts w:eastAsia="SimSun"/>
          <w:b/>
          <w:bCs/>
          <w:lang w:val="en-US"/>
        </w:rPr>
        <w:t xml:space="preserve"> de stat nu </w:t>
      </w:r>
      <w:proofErr w:type="spellStart"/>
      <w:r>
        <w:rPr>
          <w:rFonts w:eastAsia="SimSun"/>
          <w:b/>
          <w:bCs/>
          <w:lang w:val="en-US"/>
        </w:rPr>
        <w:t>este</w:t>
      </w:r>
      <w:proofErr w:type="spellEnd"/>
      <w:r>
        <w:rPr>
          <w:rFonts w:eastAsia="SimSun"/>
          <w:b/>
          <w:bCs/>
          <w:lang w:val="en-US"/>
        </w:rPr>
        <w:t xml:space="preserve"> </w:t>
      </w:r>
      <w:proofErr w:type="spellStart"/>
      <w:r>
        <w:rPr>
          <w:rFonts w:eastAsia="SimSun"/>
          <w:b/>
          <w:bCs/>
          <w:lang w:val="en-US"/>
        </w:rPr>
        <w:t>utilizată</w:t>
      </w:r>
      <w:proofErr w:type="spellEnd"/>
      <w:r>
        <w:rPr>
          <w:rFonts w:eastAsia="SimSun"/>
          <w:b/>
          <w:bCs/>
          <w:lang w:val="en-US"/>
        </w:rPr>
        <w:t xml:space="preserve"> integral, </w:t>
      </w:r>
      <w:proofErr w:type="spellStart"/>
      <w:r>
        <w:rPr>
          <w:rFonts w:eastAsia="SimSun"/>
          <w:b/>
          <w:bCs/>
          <w:lang w:val="en-US"/>
        </w:rPr>
        <w:t>diferența</w:t>
      </w:r>
      <w:proofErr w:type="spellEnd"/>
      <w:r>
        <w:rPr>
          <w:rFonts w:eastAsia="SimSun"/>
          <w:b/>
          <w:bCs/>
          <w:lang w:val="en-US"/>
        </w:rPr>
        <w:t xml:space="preserve"> </w:t>
      </w:r>
      <w:proofErr w:type="spellStart"/>
      <w:r>
        <w:rPr>
          <w:rFonts w:eastAsia="SimSun"/>
          <w:b/>
          <w:bCs/>
          <w:lang w:val="en-US"/>
        </w:rPr>
        <w:t>rămasă</w:t>
      </w:r>
      <w:proofErr w:type="spellEnd"/>
      <w:r>
        <w:rPr>
          <w:rFonts w:eastAsia="SimSun"/>
          <w:b/>
          <w:bCs/>
          <w:lang w:val="en-US"/>
        </w:rPr>
        <w:t xml:space="preserve"> </w:t>
      </w:r>
      <w:proofErr w:type="spellStart"/>
      <w:r>
        <w:rPr>
          <w:rFonts w:eastAsia="SimSun"/>
          <w:b/>
          <w:bCs/>
          <w:lang w:val="en-US"/>
        </w:rPr>
        <w:t>va</w:t>
      </w:r>
      <w:proofErr w:type="spellEnd"/>
      <w:r>
        <w:rPr>
          <w:rFonts w:eastAsia="SimSun"/>
          <w:b/>
          <w:bCs/>
          <w:lang w:val="en-US"/>
        </w:rPr>
        <w:t xml:space="preserve"> fi </w:t>
      </w:r>
      <w:proofErr w:type="spellStart"/>
      <w:r>
        <w:rPr>
          <w:rFonts w:eastAsia="SimSun"/>
          <w:b/>
          <w:bCs/>
          <w:lang w:val="en-US"/>
        </w:rPr>
        <w:t>pusă</w:t>
      </w:r>
      <w:proofErr w:type="spellEnd"/>
      <w:r>
        <w:rPr>
          <w:rFonts w:eastAsia="SimSun"/>
          <w:b/>
          <w:bCs/>
          <w:lang w:val="en-US"/>
        </w:rPr>
        <w:t xml:space="preserve"> la </w:t>
      </w:r>
      <w:proofErr w:type="spellStart"/>
      <w:r>
        <w:rPr>
          <w:rFonts w:eastAsia="SimSun"/>
          <w:b/>
          <w:bCs/>
          <w:lang w:val="en-US"/>
        </w:rPr>
        <w:t>dispoziția</w:t>
      </w:r>
      <w:proofErr w:type="spellEnd"/>
      <w:r>
        <w:rPr>
          <w:rFonts w:eastAsia="SimSun"/>
          <w:b/>
          <w:bCs/>
          <w:lang w:val="en-US"/>
        </w:rPr>
        <w:t xml:space="preserve"> </w:t>
      </w:r>
      <w:proofErr w:type="spellStart"/>
      <w:r>
        <w:rPr>
          <w:rFonts w:eastAsia="SimSun"/>
          <w:b/>
          <w:bCs/>
          <w:lang w:val="en-US"/>
        </w:rPr>
        <w:t>solicitanților</w:t>
      </w:r>
      <w:proofErr w:type="spellEnd"/>
      <w:r>
        <w:rPr>
          <w:rFonts w:eastAsia="SimSun"/>
          <w:b/>
          <w:bCs/>
          <w:lang w:val="en-US"/>
        </w:rPr>
        <w:t xml:space="preserve"> </w:t>
      </w:r>
      <w:proofErr w:type="spellStart"/>
      <w:r>
        <w:rPr>
          <w:rFonts w:eastAsia="SimSun"/>
          <w:b/>
          <w:bCs/>
          <w:lang w:val="en-US"/>
        </w:rPr>
        <w:t>în</w:t>
      </w:r>
      <w:proofErr w:type="spellEnd"/>
      <w:r>
        <w:rPr>
          <w:rFonts w:eastAsia="SimSun"/>
          <w:b/>
          <w:bCs/>
          <w:lang w:val="en-US"/>
        </w:rPr>
        <w:t xml:space="preserve"> </w:t>
      </w:r>
      <w:proofErr w:type="spellStart"/>
      <w:r>
        <w:rPr>
          <w:rFonts w:eastAsia="SimSun"/>
          <w:b/>
          <w:bCs/>
          <w:lang w:val="en-US"/>
        </w:rPr>
        <w:t>cadrul</w:t>
      </w:r>
      <w:proofErr w:type="spellEnd"/>
      <w:r>
        <w:rPr>
          <w:rFonts w:eastAsia="SimSun"/>
          <w:b/>
          <w:bCs/>
          <w:lang w:val="en-US"/>
        </w:rPr>
        <w:t xml:space="preserve"> </w:t>
      </w:r>
      <w:proofErr w:type="spellStart"/>
      <w:r>
        <w:rPr>
          <w:rFonts w:eastAsia="SimSun"/>
          <w:b/>
          <w:bCs/>
          <w:lang w:val="en-US"/>
        </w:rPr>
        <w:t>celei</w:t>
      </w:r>
      <w:proofErr w:type="spellEnd"/>
      <w:r>
        <w:rPr>
          <w:rFonts w:eastAsia="SimSun"/>
          <w:b/>
          <w:bCs/>
          <w:lang w:val="en-US"/>
        </w:rPr>
        <w:t xml:space="preserve"> de-a </w:t>
      </w:r>
      <w:proofErr w:type="spellStart"/>
      <w:r>
        <w:rPr>
          <w:rFonts w:eastAsia="SimSun"/>
          <w:b/>
          <w:bCs/>
          <w:lang w:val="en-US"/>
        </w:rPr>
        <w:t>doua</w:t>
      </w:r>
      <w:proofErr w:type="spellEnd"/>
      <w:r>
        <w:rPr>
          <w:rFonts w:eastAsia="SimSun"/>
          <w:b/>
          <w:bCs/>
          <w:lang w:val="en-US"/>
        </w:rPr>
        <w:t xml:space="preserve"> </w:t>
      </w:r>
      <w:proofErr w:type="spellStart"/>
      <w:r>
        <w:rPr>
          <w:rFonts w:eastAsia="SimSun"/>
          <w:b/>
          <w:bCs/>
          <w:lang w:val="en-US"/>
        </w:rPr>
        <w:t>runde</w:t>
      </w:r>
      <w:proofErr w:type="spellEnd"/>
      <w:r>
        <w:rPr>
          <w:rFonts w:eastAsia="SimSun"/>
          <w:b/>
          <w:bCs/>
          <w:lang w:val="en-US"/>
        </w:rPr>
        <w:t>.</w:t>
      </w:r>
    </w:p>
    <w:p w:rsidR="00017B51" w:rsidRDefault="00017B51" w:rsidP="00017B51">
      <w:pPr>
        <w:spacing w:before="0"/>
        <w:jc w:val="both"/>
        <w:rPr>
          <w:rFonts w:eastAsia="SimSun"/>
          <w:b/>
        </w:rPr>
      </w:pPr>
    </w:p>
    <w:p w:rsidR="00715618" w:rsidRDefault="00715618" w:rsidP="00715618">
      <w:pPr>
        <w:spacing w:before="0"/>
        <w:jc w:val="both"/>
        <w:rPr>
          <w:rFonts w:eastAsia="SimSun"/>
          <w:bCs/>
          <w:lang w:val="en-US"/>
        </w:rPr>
      </w:pPr>
      <w:r w:rsidRPr="00474FB0">
        <w:rPr>
          <w:rFonts w:eastAsia="SimSun"/>
          <w:b/>
          <w:bCs/>
          <w:lang w:val="en-US"/>
        </w:rPr>
        <w:t>.</w:t>
      </w:r>
      <w:r>
        <w:rPr>
          <w:rFonts w:eastAsia="SimSun"/>
          <w:bCs/>
          <w:lang w:val="en-US"/>
        </w:rPr>
        <w:t xml:space="preserve"> </w:t>
      </w:r>
      <w:proofErr w:type="spellStart"/>
      <w:r w:rsidRPr="006B2B7B">
        <w:rPr>
          <w:rFonts w:eastAsia="SimSun"/>
          <w:bCs/>
          <w:lang w:val="en-US"/>
        </w:rPr>
        <w:t>Pentru</w:t>
      </w:r>
      <w:proofErr w:type="spellEnd"/>
      <w:r w:rsidRPr="006B2B7B">
        <w:rPr>
          <w:rFonts w:eastAsia="SimSun"/>
          <w:bCs/>
          <w:lang w:val="en-US"/>
        </w:rPr>
        <w:t xml:space="preserve"> </w:t>
      </w:r>
      <w:proofErr w:type="spellStart"/>
      <w:r w:rsidRPr="006B2B7B">
        <w:rPr>
          <w:rFonts w:eastAsia="SimSun"/>
          <w:b/>
          <w:bCs/>
          <w:lang w:val="en-US"/>
        </w:rPr>
        <w:t>solicitanți</w:t>
      </w:r>
      <w:r>
        <w:rPr>
          <w:rFonts w:eastAsia="SimSun"/>
          <w:b/>
          <w:bCs/>
          <w:lang w:val="en-US"/>
        </w:rPr>
        <w:t>i</w:t>
      </w:r>
      <w:proofErr w:type="spellEnd"/>
      <w:r w:rsidRPr="006B2B7B">
        <w:rPr>
          <w:rFonts w:eastAsia="SimSun"/>
          <w:bCs/>
          <w:lang w:val="en-US"/>
        </w:rPr>
        <w:t xml:space="preserve"> </w:t>
      </w:r>
      <w:r w:rsidRPr="00981EC3">
        <w:rPr>
          <w:b/>
          <w:iCs/>
          <w:noProof/>
          <w:szCs w:val="20"/>
          <w:lang w:eastAsia="ro-RO"/>
        </w:rPr>
        <w:t xml:space="preserve">eligibili </w:t>
      </w:r>
      <w:proofErr w:type="spellStart"/>
      <w:r w:rsidRPr="006B2B7B">
        <w:rPr>
          <w:rFonts w:eastAsia="SimSun"/>
          <w:bCs/>
          <w:lang w:val="en-US"/>
        </w:rPr>
        <w:t>este</w:t>
      </w:r>
      <w:proofErr w:type="spellEnd"/>
      <w:r w:rsidRPr="006B2B7B">
        <w:rPr>
          <w:rFonts w:eastAsia="SimSun"/>
          <w:bCs/>
          <w:lang w:val="en-US"/>
        </w:rPr>
        <w:t xml:space="preserve"> </w:t>
      </w:r>
      <w:proofErr w:type="spellStart"/>
      <w:r w:rsidRPr="006B2B7B">
        <w:rPr>
          <w:rFonts w:eastAsia="SimSun"/>
          <w:bCs/>
          <w:lang w:val="en-US"/>
        </w:rPr>
        <w:t>prevăzută</w:t>
      </w:r>
      <w:proofErr w:type="spellEnd"/>
      <w:r w:rsidRPr="006B2B7B">
        <w:rPr>
          <w:rFonts w:eastAsia="SimSun"/>
          <w:bCs/>
          <w:lang w:val="en-US"/>
        </w:rPr>
        <w:t xml:space="preserve"> o </w:t>
      </w:r>
      <w:proofErr w:type="spellStart"/>
      <w:r w:rsidRPr="006B2B7B">
        <w:rPr>
          <w:rFonts w:eastAsia="SimSun"/>
          <w:bCs/>
          <w:lang w:val="en-US"/>
        </w:rPr>
        <w:t>alocare</w:t>
      </w:r>
      <w:proofErr w:type="spellEnd"/>
      <w:r w:rsidRPr="006B2B7B">
        <w:rPr>
          <w:rFonts w:eastAsia="SimSun"/>
          <w:bCs/>
          <w:lang w:val="en-US"/>
        </w:rPr>
        <w:t xml:space="preserve"> </w:t>
      </w:r>
      <w:proofErr w:type="spellStart"/>
      <w:r>
        <w:rPr>
          <w:rFonts w:eastAsia="SimSun"/>
          <w:bCs/>
          <w:lang w:val="en-US"/>
        </w:rPr>
        <w:t>distinctă</w:t>
      </w:r>
      <w:proofErr w:type="spellEnd"/>
      <w:r w:rsidRPr="006B2B7B">
        <w:rPr>
          <w:rFonts w:eastAsia="SimSun"/>
          <w:bCs/>
          <w:lang w:val="en-US"/>
        </w:rPr>
        <w:t xml:space="preserve"> </w:t>
      </w:r>
      <w:proofErr w:type="spellStart"/>
      <w:r w:rsidRPr="006B2B7B">
        <w:rPr>
          <w:rFonts w:eastAsia="SimSun"/>
          <w:bCs/>
          <w:lang w:val="en-US"/>
        </w:rPr>
        <w:t>pentru</w:t>
      </w:r>
      <w:proofErr w:type="spellEnd"/>
      <w:r w:rsidRPr="006B2B7B">
        <w:rPr>
          <w:rFonts w:eastAsia="SimSun"/>
          <w:bCs/>
          <w:lang w:val="en-US"/>
        </w:rPr>
        <w:t xml:space="preserve"> </w:t>
      </w:r>
      <w:proofErr w:type="spellStart"/>
      <w:r w:rsidRPr="006B2B7B">
        <w:rPr>
          <w:rFonts w:eastAsia="SimSun"/>
          <w:bCs/>
          <w:lang w:val="en-US"/>
        </w:rPr>
        <w:t>instalarea</w:t>
      </w:r>
      <w:proofErr w:type="spellEnd"/>
      <w:r w:rsidRPr="006B2B7B">
        <w:rPr>
          <w:rFonts w:eastAsia="SimSun"/>
          <w:bCs/>
          <w:lang w:val="en-US"/>
        </w:rPr>
        <w:t xml:space="preserve"> </w:t>
      </w:r>
      <w:proofErr w:type="spellStart"/>
      <w:r w:rsidRPr="006B2B7B">
        <w:rPr>
          <w:rFonts w:eastAsia="SimSun"/>
          <w:bCs/>
          <w:lang w:val="en-US"/>
        </w:rPr>
        <w:t>stațiilor</w:t>
      </w:r>
      <w:proofErr w:type="spellEnd"/>
      <w:r w:rsidRPr="006B2B7B">
        <w:rPr>
          <w:rFonts w:eastAsia="SimSun"/>
          <w:bCs/>
          <w:lang w:val="en-US"/>
        </w:rPr>
        <w:t xml:space="preserve"> de </w:t>
      </w:r>
      <w:proofErr w:type="spellStart"/>
      <w:r w:rsidRPr="006B2B7B">
        <w:rPr>
          <w:rFonts w:eastAsia="SimSun"/>
          <w:bCs/>
          <w:lang w:val="en-US"/>
        </w:rPr>
        <w:t>încărcare</w:t>
      </w:r>
      <w:proofErr w:type="spellEnd"/>
      <w:r w:rsidRPr="006B2B7B">
        <w:rPr>
          <w:rFonts w:eastAsia="SimSun"/>
          <w:bCs/>
          <w:lang w:val="en-US"/>
        </w:rPr>
        <w:t xml:space="preserve"> </w:t>
      </w:r>
      <w:proofErr w:type="spellStart"/>
      <w:r w:rsidRPr="006B2B7B">
        <w:rPr>
          <w:rFonts w:eastAsia="SimSun"/>
          <w:bCs/>
          <w:lang w:val="en-US"/>
        </w:rPr>
        <w:t>pentru</w:t>
      </w:r>
      <w:proofErr w:type="spellEnd"/>
      <w:r w:rsidRPr="006B2B7B">
        <w:rPr>
          <w:rFonts w:eastAsia="SimSun"/>
          <w:bCs/>
          <w:lang w:val="en-US"/>
        </w:rPr>
        <w:t xml:space="preserve"> </w:t>
      </w:r>
      <w:proofErr w:type="spellStart"/>
      <w:r w:rsidRPr="006B2B7B">
        <w:rPr>
          <w:rFonts w:eastAsia="SimSun"/>
          <w:bCs/>
          <w:lang w:val="en-US"/>
        </w:rPr>
        <w:t>vehicule</w:t>
      </w:r>
      <w:proofErr w:type="spellEnd"/>
      <w:r w:rsidRPr="006B2B7B">
        <w:rPr>
          <w:rFonts w:eastAsia="SimSun"/>
          <w:bCs/>
          <w:lang w:val="en-US"/>
        </w:rPr>
        <w:t xml:space="preserve"> </w:t>
      </w:r>
      <w:proofErr w:type="spellStart"/>
      <w:r w:rsidRPr="006B2B7B">
        <w:rPr>
          <w:rFonts w:eastAsia="SimSun"/>
          <w:bCs/>
          <w:lang w:val="en-US"/>
        </w:rPr>
        <w:t>electrice</w:t>
      </w:r>
      <w:proofErr w:type="spellEnd"/>
      <w:r>
        <w:rPr>
          <w:rFonts w:eastAsia="SimSun"/>
          <w:bCs/>
          <w:lang w:val="en-US"/>
        </w:rPr>
        <w:t xml:space="preserve">, </w:t>
      </w:r>
      <w:proofErr w:type="spellStart"/>
      <w:r>
        <w:rPr>
          <w:rFonts w:eastAsia="SimSun"/>
          <w:bCs/>
          <w:lang w:val="en-US"/>
        </w:rPr>
        <w:t>astfel</w:t>
      </w:r>
      <w:proofErr w:type="spellEnd"/>
      <w:r>
        <w:rPr>
          <w:rFonts w:eastAsia="SimSun"/>
          <w:bCs/>
          <w:lang w:val="en-US"/>
        </w:rPr>
        <w:t>:</w:t>
      </w:r>
    </w:p>
    <w:p w:rsidR="00715618" w:rsidRPr="00682BD9" w:rsidRDefault="00715618" w:rsidP="00715618">
      <w:pPr>
        <w:numPr>
          <w:ilvl w:val="0"/>
          <w:numId w:val="18"/>
        </w:numPr>
        <w:spacing w:before="0"/>
        <w:jc w:val="both"/>
        <w:rPr>
          <w:rFonts w:eastAsia="SimSun"/>
          <w:b/>
        </w:rPr>
      </w:pPr>
      <w:r w:rsidRPr="00682BD9">
        <w:rPr>
          <w:rFonts w:eastAsia="SimSun"/>
          <w:b/>
        </w:rPr>
        <w:t>alocare financiară din PNRR: 11.250.000 Euro</w:t>
      </w:r>
    </w:p>
    <w:p w:rsidR="00715618" w:rsidRPr="00682BD9" w:rsidRDefault="00715618" w:rsidP="00715618">
      <w:pPr>
        <w:numPr>
          <w:ilvl w:val="0"/>
          <w:numId w:val="18"/>
        </w:numPr>
        <w:spacing w:before="0"/>
        <w:jc w:val="both"/>
        <w:rPr>
          <w:rFonts w:eastAsia="SimSun"/>
          <w:b/>
        </w:rPr>
      </w:pPr>
      <w:r w:rsidRPr="00682BD9">
        <w:rPr>
          <w:rFonts w:eastAsia="SimSun"/>
          <w:b/>
        </w:rPr>
        <w:t xml:space="preserve">alocare financiară suplimentară, pe lângă finanțarea din PNRR, conform art. 24 alin (1) din </w:t>
      </w:r>
      <w:proofErr w:type="spellStart"/>
      <w:r w:rsidRPr="00682BD9">
        <w:rPr>
          <w:rFonts w:eastAsia="SimSun"/>
          <w:b/>
        </w:rPr>
        <w:t>Ordonanţă</w:t>
      </w:r>
      <w:proofErr w:type="spellEnd"/>
      <w:r w:rsidRPr="00682BD9">
        <w:rPr>
          <w:rFonts w:eastAsia="SimSun"/>
          <w:b/>
        </w:rPr>
        <w:t xml:space="preserve"> de </w:t>
      </w:r>
      <w:proofErr w:type="spellStart"/>
      <w:r w:rsidRPr="00682BD9">
        <w:rPr>
          <w:rFonts w:eastAsia="SimSun"/>
          <w:b/>
        </w:rPr>
        <w:t>urgenţă</w:t>
      </w:r>
      <w:proofErr w:type="spellEnd"/>
      <w:r w:rsidRPr="00682BD9">
        <w:rPr>
          <w:rFonts w:eastAsia="SimSun"/>
          <w:b/>
        </w:rPr>
        <w:t xml:space="preserve"> nr. 124/2021: 3.375.000 Euro</w:t>
      </w:r>
    </w:p>
    <w:p w:rsidR="00715618" w:rsidRPr="00682BD9" w:rsidRDefault="00715618" w:rsidP="00715618">
      <w:pPr>
        <w:numPr>
          <w:ilvl w:val="0"/>
          <w:numId w:val="18"/>
        </w:numPr>
        <w:spacing w:before="0"/>
        <w:jc w:val="both"/>
        <w:rPr>
          <w:rFonts w:eastAsia="SimSun"/>
          <w:bCs/>
        </w:rPr>
      </w:pPr>
      <w:r w:rsidRPr="00682BD9">
        <w:rPr>
          <w:rFonts w:eastAsia="SimSun"/>
          <w:b/>
        </w:rPr>
        <w:t>alocare financiară totală</w:t>
      </w:r>
      <w:r w:rsidRPr="00682BD9">
        <w:rPr>
          <w:rFonts w:eastAsia="SimSun"/>
          <w:b/>
          <w:lang w:val="en-US"/>
        </w:rPr>
        <w:t xml:space="preserve">: </w:t>
      </w:r>
      <w:r w:rsidRPr="00682BD9">
        <w:rPr>
          <w:rFonts w:eastAsia="SimSun"/>
          <w:b/>
          <w:u w:val="single"/>
          <w:lang w:val="en-US"/>
        </w:rPr>
        <w:t>14.625.000 Euro</w:t>
      </w:r>
    </w:p>
    <w:p w:rsidR="00017B51" w:rsidRDefault="00017B51" w:rsidP="00017B51">
      <w:pPr>
        <w:spacing w:before="0"/>
        <w:jc w:val="both"/>
        <w:rPr>
          <w:rFonts w:eastAsia="SimSun"/>
          <w:b/>
        </w:rPr>
      </w:pPr>
    </w:p>
    <w:p w:rsidR="00017B51" w:rsidRDefault="00017B51" w:rsidP="00017B51">
      <w:pPr>
        <w:spacing w:before="0"/>
        <w:jc w:val="both"/>
        <w:rPr>
          <w:rFonts w:eastAsia="SimSun"/>
          <w:b/>
        </w:rPr>
      </w:pPr>
    </w:p>
    <w:p w:rsidR="00017B51" w:rsidRDefault="00017B51" w:rsidP="00017B51">
      <w:pPr>
        <w:spacing w:before="0"/>
        <w:jc w:val="both"/>
        <w:rPr>
          <w:rFonts w:eastAsia="SimSun"/>
          <w:b/>
        </w:rPr>
      </w:pPr>
    </w:p>
    <w:p w:rsidR="00017B51" w:rsidRDefault="00017B51" w:rsidP="00017B51">
      <w:pPr>
        <w:spacing w:before="0"/>
        <w:jc w:val="both"/>
        <w:rPr>
          <w:rFonts w:eastAsia="SimSun"/>
          <w:b/>
        </w:rPr>
      </w:pPr>
    </w:p>
    <w:p w:rsidR="00DE3B93" w:rsidRPr="00DE3B93" w:rsidRDefault="00DE3B93" w:rsidP="00DE3B93">
      <w:pPr>
        <w:spacing w:before="0"/>
        <w:jc w:val="both"/>
        <w:rPr>
          <w:rFonts w:eastAsia="SimSun"/>
          <w:b/>
          <w:sz w:val="24"/>
        </w:rPr>
      </w:pPr>
      <w:r w:rsidRPr="00DE3B93">
        <w:rPr>
          <w:rFonts w:eastAsia="SimSun"/>
          <w:b/>
          <w:sz w:val="24"/>
        </w:rPr>
        <w:lastRenderedPageBreak/>
        <w:t>Apelul de proiecte de renovare energetică aprofundată a clădirilor rezidențiale multifamiliale, titlu apel: PNRR/2022/C5/1/A.3.2/1</w:t>
      </w:r>
    </w:p>
    <w:p w:rsidR="00E357AA" w:rsidRPr="00367F87" w:rsidRDefault="00E357AA" w:rsidP="00367F87">
      <w:pPr>
        <w:pStyle w:val="ListParagraph"/>
        <w:numPr>
          <w:ilvl w:val="0"/>
          <w:numId w:val="11"/>
        </w:numPr>
        <w:ind w:left="426" w:hanging="426"/>
        <w:contextualSpacing w:val="0"/>
        <w:jc w:val="both"/>
        <w:rPr>
          <w:rFonts w:eastAsia="SimSun"/>
          <w:u w:val="single"/>
        </w:rPr>
      </w:pPr>
      <w:r w:rsidRPr="00E357AA">
        <w:rPr>
          <w:iCs/>
          <w:noProof/>
          <w:szCs w:val="20"/>
          <w:lang w:val="en-US" w:eastAsia="ro-RO"/>
        </w:rPr>
        <w:t xml:space="preserve">Astfel, </w:t>
      </w:r>
      <w:r w:rsidRPr="00E357AA">
        <w:rPr>
          <w:b/>
          <w:iCs/>
          <w:noProof/>
          <w:szCs w:val="20"/>
          <w:lang w:val="en-US" w:eastAsia="ro-RO"/>
        </w:rPr>
        <w:t xml:space="preserve">pentru apelul de proiecte de renovare </w:t>
      </w:r>
      <w:r>
        <w:rPr>
          <w:b/>
          <w:iCs/>
          <w:noProof/>
          <w:szCs w:val="20"/>
          <w:lang w:val="en-US" w:eastAsia="ro-RO"/>
        </w:rPr>
        <w:t>aprofundată</w:t>
      </w:r>
      <w:r w:rsidRPr="00E357AA">
        <w:rPr>
          <w:b/>
          <w:iCs/>
          <w:noProof/>
          <w:szCs w:val="20"/>
          <w:lang w:val="en-US" w:eastAsia="ro-RO"/>
        </w:rPr>
        <w:t xml:space="preserve"> a clădirilor </w:t>
      </w:r>
      <w:r w:rsidR="007C4B24">
        <w:rPr>
          <w:b/>
          <w:iCs/>
          <w:noProof/>
          <w:szCs w:val="20"/>
          <w:lang w:val="en-US" w:eastAsia="ro-RO"/>
        </w:rPr>
        <w:t>rezidențiale multifamiliale</w:t>
      </w:r>
      <w:r w:rsidRPr="00E357AA">
        <w:rPr>
          <w:b/>
          <w:iCs/>
          <w:noProof/>
          <w:szCs w:val="20"/>
          <w:lang w:val="en-US" w:eastAsia="ro-RO"/>
        </w:rPr>
        <w:t xml:space="preserve">, titlul apel </w:t>
      </w:r>
      <w:r w:rsidR="00FC7791" w:rsidRPr="00FC7791">
        <w:rPr>
          <w:rFonts w:eastAsia="SimSun"/>
          <w:b/>
          <w:u w:val="single"/>
        </w:rPr>
        <w:t xml:space="preserve">PNRR/2022/C5/1/A.3.2/1 </w:t>
      </w:r>
      <w:r w:rsidRPr="00E357AA">
        <w:rPr>
          <w:rFonts w:eastAsia="SimSun"/>
          <w:b/>
          <w:u w:val="single"/>
        </w:rPr>
        <w:t>(</w:t>
      </w:r>
      <w:r w:rsidR="00367F87">
        <w:rPr>
          <w:b/>
          <w:iCs/>
          <w:noProof/>
          <w:szCs w:val="20"/>
          <w:u w:val="single"/>
          <w:lang w:val="en-US" w:eastAsia="ro-RO"/>
        </w:rPr>
        <w:t>87.100.000</w:t>
      </w:r>
      <w:r w:rsidRPr="00E357AA">
        <w:rPr>
          <w:b/>
          <w:iCs/>
          <w:noProof/>
          <w:szCs w:val="20"/>
          <w:u w:val="single"/>
          <w:lang w:val="en-US" w:eastAsia="ro-RO"/>
        </w:rPr>
        <w:t xml:space="preserve"> Euro</w:t>
      </w:r>
      <w:r w:rsidRPr="00E357AA">
        <w:rPr>
          <w:b/>
          <w:iCs/>
          <w:noProof/>
          <w:szCs w:val="20"/>
          <w:lang w:val="en-US" w:eastAsia="ro-RO"/>
        </w:rPr>
        <w:t>),</w:t>
      </w:r>
      <w:r w:rsidR="007C4B24">
        <w:rPr>
          <w:iCs/>
          <w:noProof/>
          <w:szCs w:val="20"/>
          <w:lang w:val="en-US" w:eastAsia="ro-RO"/>
        </w:rPr>
        <w:t xml:space="preserve"> </w:t>
      </w:r>
      <w:r w:rsidRPr="00E357AA">
        <w:rPr>
          <w:rFonts w:eastAsia="SimSun"/>
        </w:rPr>
        <w:t>sumele au fost distribuite între solicitanții eligibili, astfel:</w:t>
      </w:r>
    </w:p>
    <w:p w:rsidR="00D53234" w:rsidRPr="004C103A" w:rsidRDefault="00D53234" w:rsidP="00D53234">
      <w:pPr>
        <w:pStyle w:val="ListParagraph"/>
        <w:numPr>
          <w:ilvl w:val="0"/>
          <w:numId w:val="15"/>
        </w:numPr>
        <w:contextualSpacing w:val="0"/>
        <w:jc w:val="both"/>
        <w:rPr>
          <w:rFonts w:eastAsia="SimSun"/>
        </w:rPr>
      </w:pPr>
      <w:r w:rsidRPr="004C103A">
        <w:rPr>
          <w:iCs/>
          <w:noProof/>
          <w:szCs w:val="20"/>
          <w:lang w:eastAsia="ro-RO"/>
        </w:rPr>
        <w:t xml:space="preserve">Alocare financiară din PNRR: </w:t>
      </w:r>
      <w:r w:rsidR="00367F87">
        <w:rPr>
          <w:rFonts w:eastAsia="SimSun"/>
          <w:u w:val="single"/>
        </w:rPr>
        <w:t>67.000.000</w:t>
      </w:r>
      <w:r w:rsidRPr="004C103A">
        <w:rPr>
          <w:rFonts w:eastAsia="SimSun"/>
          <w:u w:val="single"/>
        </w:rPr>
        <w:t xml:space="preserve"> </w:t>
      </w:r>
      <w:r w:rsidRPr="004C103A">
        <w:rPr>
          <w:iCs/>
          <w:noProof/>
          <w:szCs w:val="20"/>
          <w:lang w:eastAsia="ro-RO"/>
        </w:rPr>
        <w:t>Euro</w:t>
      </w:r>
    </w:p>
    <w:p w:rsidR="00D53234" w:rsidRPr="004C103A" w:rsidRDefault="00D53234" w:rsidP="00D53234">
      <w:pPr>
        <w:pStyle w:val="ListParagraph"/>
        <w:numPr>
          <w:ilvl w:val="0"/>
          <w:numId w:val="15"/>
        </w:numPr>
        <w:contextualSpacing w:val="0"/>
        <w:jc w:val="both"/>
        <w:rPr>
          <w:rFonts w:eastAsia="SimSun"/>
        </w:rPr>
      </w:pPr>
      <w:r w:rsidRPr="004C103A">
        <w:rPr>
          <w:iCs/>
          <w:noProof/>
          <w:szCs w:val="20"/>
          <w:lang w:eastAsia="ro-RO"/>
        </w:rPr>
        <w:t xml:space="preserve">Alocare financiară suplimentară, pe lângă finanțarea din PNRR, conform art. 24 alin (1) din Ordonanţă de urgenţă nr. 124/2021: </w:t>
      </w:r>
      <w:r w:rsidR="00367F87">
        <w:rPr>
          <w:rFonts w:eastAsia="SimSun"/>
          <w:u w:val="single"/>
        </w:rPr>
        <w:t>20.100.000</w:t>
      </w:r>
      <w:r w:rsidRPr="004C103A">
        <w:rPr>
          <w:rFonts w:eastAsia="SimSun"/>
          <w:u w:val="single"/>
        </w:rPr>
        <w:t xml:space="preserve"> </w:t>
      </w:r>
      <w:r w:rsidRPr="004C103A">
        <w:rPr>
          <w:iCs/>
          <w:noProof/>
          <w:szCs w:val="20"/>
          <w:lang w:eastAsia="ro-RO"/>
        </w:rPr>
        <w:t>Euro</w:t>
      </w:r>
    </w:p>
    <w:p w:rsidR="00D53234" w:rsidRPr="004C103A" w:rsidRDefault="00D53234" w:rsidP="00D53234">
      <w:pPr>
        <w:pStyle w:val="ListParagraph"/>
        <w:numPr>
          <w:ilvl w:val="0"/>
          <w:numId w:val="15"/>
        </w:numPr>
        <w:contextualSpacing w:val="0"/>
        <w:jc w:val="both"/>
        <w:rPr>
          <w:iCs/>
          <w:noProof/>
          <w:szCs w:val="20"/>
          <w:lang w:eastAsia="ro-RO"/>
        </w:rPr>
      </w:pPr>
      <w:r w:rsidRPr="004C103A">
        <w:rPr>
          <w:iCs/>
          <w:noProof/>
          <w:szCs w:val="20"/>
          <w:lang w:eastAsia="ro-RO"/>
        </w:rPr>
        <w:t>Alocare cumulată PNRR+sume suplimentare conform OUG 124/2021</w:t>
      </w:r>
      <w:r w:rsidRPr="004C103A">
        <w:rPr>
          <w:iCs/>
          <w:noProof/>
          <w:szCs w:val="20"/>
          <w:lang w:val="en-US" w:eastAsia="ro-RO"/>
        </w:rPr>
        <w:t xml:space="preserve">: </w:t>
      </w:r>
      <w:r w:rsidR="00367F87">
        <w:rPr>
          <w:iCs/>
          <w:noProof/>
          <w:szCs w:val="20"/>
          <w:lang w:val="en-US" w:eastAsia="ro-RO"/>
        </w:rPr>
        <w:t>87.100.000</w:t>
      </w:r>
      <w:r w:rsidRPr="004C103A">
        <w:rPr>
          <w:iCs/>
          <w:noProof/>
          <w:szCs w:val="20"/>
          <w:lang w:eastAsia="ro-RO"/>
        </w:rPr>
        <w:t xml:space="preserve"> Euro </w:t>
      </w:r>
    </w:p>
    <w:p w:rsidR="00D53234" w:rsidRPr="004C103A" w:rsidRDefault="00D53234" w:rsidP="00D53234">
      <w:pPr>
        <w:pStyle w:val="ListParagraph"/>
        <w:numPr>
          <w:ilvl w:val="0"/>
          <w:numId w:val="15"/>
        </w:numPr>
        <w:contextualSpacing w:val="0"/>
        <w:jc w:val="both"/>
        <w:rPr>
          <w:iCs/>
          <w:noProof/>
          <w:szCs w:val="20"/>
          <w:lang w:eastAsia="ro-RO"/>
        </w:rPr>
      </w:pPr>
      <w:r w:rsidRPr="004C103A">
        <w:rPr>
          <w:iCs/>
          <w:noProof/>
          <w:szCs w:val="20"/>
          <w:lang w:eastAsia="ro-RO"/>
        </w:rPr>
        <w:t xml:space="preserve">Alocare pentru </w:t>
      </w:r>
      <w:r w:rsidRPr="004C103A">
        <w:rPr>
          <w:b/>
          <w:iCs/>
          <w:noProof/>
          <w:szCs w:val="20"/>
          <w:lang w:eastAsia="ro-RO"/>
        </w:rPr>
        <w:t xml:space="preserve">finanțarea schemelor de ajutor de stat în cuantum de </w:t>
      </w:r>
      <w:r w:rsidR="00367F87">
        <w:rPr>
          <w:b/>
          <w:iCs/>
          <w:noProof/>
          <w:szCs w:val="20"/>
          <w:lang w:eastAsia="ro-RO"/>
        </w:rPr>
        <w:t>4.355.000</w:t>
      </w:r>
      <w:r w:rsidRPr="004C103A">
        <w:rPr>
          <w:b/>
          <w:iCs/>
          <w:noProof/>
          <w:szCs w:val="20"/>
          <w:lang w:eastAsia="ro-RO"/>
        </w:rPr>
        <w:t xml:space="preserve"> Euro</w:t>
      </w:r>
      <w:r w:rsidRPr="004C103A">
        <w:rPr>
          <w:iCs/>
          <w:noProof/>
          <w:szCs w:val="20"/>
          <w:lang w:eastAsia="ro-RO"/>
        </w:rPr>
        <w:t xml:space="preserve"> (5% din </w:t>
      </w:r>
      <w:r w:rsidR="00367F87">
        <w:rPr>
          <w:iCs/>
          <w:noProof/>
          <w:szCs w:val="20"/>
          <w:lang w:eastAsia="ro-RO"/>
        </w:rPr>
        <w:t>87.100.000</w:t>
      </w:r>
      <w:r w:rsidRPr="004C103A">
        <w:rPr>
          <w:iCs/>
          <w:noProof/>
          <w:szCs w:val="20"/>
          <w:lang w:eastAsia="ro-RO"/>
        </w:rPr>
        <w:t xml:space="preserve"> Euro)</w:t>
      </w:r>
    </w:p>
    <w:p w:rsidR="00D53234" w:rsidRPr="004C103A" w:rsidRDefault="00D53234" w:rsidP="00D53234">
      <w:pPr>
        <w:spacing w:before="0"/>
        <w:jc w:val="both"/>
        <w:rPr>
          <w:iCs/>
          <w:noProof/>
          <w:szCs w:val="20"/>
          <w:lang w:eastAsia="ro-RO"/>
        </w:rPr>
      </w:pPr>
      <w:r w:rsidRPr="00FC7791">
        <w:rPr>
          <w:b/>
          <w:iCs/>
          <w:noProof/>
          <w:szCs w:val="20"/>
          <w:u w:val="single"/>
          <w:lang w:eastAsia="ro-RO"/>
        </w:rPr>
        <w:t xml:space="preserve">Alocarea financiară totală eligibilă*: </w:t>
      </w:r>
      <w:r w:rsidR="00367F87">
        <w:rPr>
          <w:b/>
          <w:iCs/>
          <w:noProof/>
          <w:szCs w:val="20"/>
          <w:u w:val="single"/>
          <w:lang w:eastAsia="ro-RO"/>
        </w:rPr>
        <w:t>82.745.000</w:t>
      </w:r>
      <w:r w:rsidRPr="00FC7791">
        <w:rPr>
          <w:b/>
          <w:iCs/>
          <w:noProof/>
          <w:szCs w:val="20"/>
          <w:u w:val="single"/>
          <w:lang w:eastAsia="ro-RO"/>
        </w:rPr>
        <w:t xml:space="preserve"> Euro</w:t>
      </w:r>
      <w:r w:rsidRPr="004C103A">
        <w:rPr>
          <w:iCs/>
          <w:noProof/>
          <w:szCs w:val="20"/>
          <w:lang w:eastAsia="ro-RO"/>
        </w:rPr>
        <w:t xml:space="preserve">, repartizată pe județe și </w:t>
      </w:r>
      <w:r w:rsidR="00A05035">
        <w:rPr>
          <w:iCs/>
          <w:noProof/>
          <w:szCs w:val="20"/>
          <w:lang w:eastAsia="ro-RO"/>
        </w:rPr>
        <w:t>municipiul BUCUREȘTI</w:t>
      </w:r>
      <w:r w:rsidRPr="004C103A">
        <w:rPr>
          <w:iCs/>
          <w:noProof/>
          <w:szCs w:val="20"/>
          <w:lang w:eastAsia="ro-RO"/>
        </w:rPr>
        <w:t>, s-a făcut ținând cont de trei factori, astfel:</w:t>
      </w:r>
    </w:p>
    <w:p w:rsidR="00D53234" w:rsidRPr="004C103A" w:rsidRDefault="00D53234" w:rsidP="00D53234">
      <w:pPr>
        <w:pStyle w:val="ListParagraph"/>
        <w:numPr>
          <w:ilvl w:val="0"/>
          <w:numId w:val="5"/>
        </w:numPr>
        <w:ind w:left="714" w:hanging="357"/>
        <w:contextualSpacing w:val="0"/>
        <w:jc w:val="both"/>
        <w:rPr>
          <w:iCs/>
          <w:noProof/>
          <w:szCs w:val="20"/>
          <w:lang w:eastAsia="ro-RO"/>
        </w:rPr>
      </w:pPr>
      <w:r w:rsidRPr="004C103A">
        <w:rPr>
          <w:iCs/>
          <w:noProof/>
          <w:szCs w:val="20"/>
          <w:lang w:eastAsia="ro-RO"/>
        </w:rPr>
        <w:t>35% din sumă distribuită în mod egal tuturor județelor,</w:t>
      </w:r>
    </w:p>
    <w:p w:rsidR="00D53234" w:rsidRPr="004C103A" w:rsidRDefault="00D53234" w:rsidP="00D53234">
      <w:pPr>
        <w:pStyle w:val="ListParagraph"/>
        <w:numPr>
          <w:ilvl w:val="0"/>
          <w:numId w:val="5"/>
        </w:numPr>
        <w:ind w:left="714" w:hanging="357"/>
        <w:contextualSpacing w:val="0"/>
        <w:jc w:val="both"/>
        <w:rPr>
          <w:iCs/>
          <w:noProof/>
          <w:szCs w:val="20"/>
          <w:lang w:eastAsia="ro-RO"/>
        </w:rPr>
      </w:pPr>
      <w:r w:rsidRPr="004C103A">
        <w:rPr>
          <w:iCs/>
          <w:noProof/>
          <w:szCs w:val="20"/>
          <w:lang w:eastAsia="ro-RO"/>
        </w:rPr>
        <w:t>40% din sumă distribuită proporțional, în funcție de populația rezidentă din fiecare județ,</w:t>
      </w:r>
    </w:p>
    <w:p w:rsidR="00D53234" w:rsidRPr="004C103A" w:rsidRDefault="00D53234" w:rsidP="00D53234">
      <w:pPr>
        <w:pStyle w:val="ListParagraph"/>
        <w:numPr>
          <w:ilvl w:val="0"/>
          <w:numId w:val="5"/>
        </w:numPr>
        <w:ind w:left="714" w:hanging="357"/>
        <w:contextualSpacing w:val="0"/>
        <w:jc w:val="both"/>
        <w:rPr>
          <w:iCs/>
          <w:noProof/>
          <w:szCs w:val="20"/>
          <w:lang w:eastAsia="ro-RO"/>
        </w:rPr>
      </w:pPr>
      <w:r w:rsidRPr="004C103A">
        <w:rPr>
          <w:iCs/>
          <w:noProof/>
          <w:szCs w:val="20"/>
          <w:lang w:eastAsia="ro-RO"/>
        </w:rPr>
        <w:t xml:space="preserve">25% din sumă distribuită proporțional, în funcție de numărul de </w:t>
      </w:r>
      <w:r>
        <w:rPr>
          <w:iCs/>
          <w:noProof/>
          <w:szCs w:val="20"/>
          <w:lang w:eastAsia="ro-RO"/>
        </w:rPr>
        <w:t>blocuri de locuințe (Recensământ 2011)</w:t>
      </w:r>
      <w:r w:rsidRPr="004C103A">
        <w:rPr>
          <w:iCs/>
          <w:noProof/>
          <w:szCs w:val="20"/>
          <w:lang w:eastAsia="ro-RO"/>
        </w:rPr>
        <w:t>.</w:t>
      </w:r>
    </w:p>
    <w:p w:rsidR="00D53234" w:rsidRPr="004C103A" w:rsidRDefault="00D53234" w:rsidP="00D53234">
      <w:pPr>
        <w:jc w:val="both"/>
        <w:rPr>
          <w:i/>
          <w:iCs/>
          <w:noProof/>
          <w:szCs w:val="20"/>
          <w:lang w:eastAsia="ro-RO"/>
        </w:rPr>
      </w:pPr>
      <w:r w:rsidRPr="004C103A">
        <w:rPr>
          <w:i/>
          <w:iCs/>
          <w:noProof/>
          <w:szCs w:val="20"/>
          <w:lang w:eastAsia="ro-RO"/>
        </w:rPr>
        <w:t xml:space="preserve">*Valoarea totală eligibilă, alocată pentru fiecare județ și subdiviziuni administrativ-teritoriale a rezultat din valoarea obținută prin cumularea valorii PNRR cu valoarea suplimentară acordată în baza prevederilor din OUG nr. 124/2021, din care 5% au fost realocate pentru finanțarea schemelor de ajutor de stat, în cuantum de </w:t>
      </w:r>
      <w:r w:rsidR="00367F87">
        <w:rPr>
          <w:i/>
          <w:iCs/>
          <w:noProof/>
          <w:szCs w:val="20"/>
          <w:lang w:eastAsia="ro-RO"/>
        </w:rPr>
        <w:t>4.355.000</w:t>
      </w:r>
      <w:r w:rsidRPr="004C103A">
        <w:rPr>
          <w:i/>
          <w:iCs/>
          <w:noProof/>
          <w:szCs w:val="20"/>
          <w:lang w:eastAsia="ro-RO"/>
        </w:rPr>
        <w:t xml:space="preserve"> Euro.</w:t>
      </w:r>
    </w:p>
    <w:p w:rsidR="00D53234" w:rsidRDefault="00D53234" w:rsidP="00D53234">
      <w:pPr>
        <w:spacing w:before="0"/>
        <w:jc w:val="both"/>
        <w:rPr>
          <w:rFonts w:eastAsia="SimSun"/>
        </w:rPr>
      </w:pPr>
      <w:r>
        <w:rPr>
          <w:rFonts w:eastAsia="SimSun"/>
        </w:rPr>
        <w:t xml:space="preserve">Pentru municipiul București, alocarea s-a </w:t>
      </w:r>
      <w:r w:rsidR="00A05035">
        <w:rPr>
          <w:rFonts w:eastAsia="SimSun"/>
        </w:rPr>
        <w:t xml:space="preserve">redistribuit </w:t>
      </w:r>
      <w:r>
        <w:rPr>
          <w:rFonts w:eastAsia="SimSun"/>
        </w:rPr>
        <w:t xml:space="preserve">pe </w:t>
      </w:r>
      <w:r w:rsidR="00A05035">
        <w:rPr>
          <w:rFonts w:eastAsia="SimSun"/>
        </w:rPr>
        <w:t xml:space="preserve">sectoare </w:t>
      </w:r>
      <w:r>
        <w:rPr>
          <w:rFonts w:eastAsia="SimSun"/>
        </w:rPr>
        <w:t>(subdiviziuni administrativ-teritoriale), ținând cont de aceiași trei factori, menționați mai sus.</w:t>
      </w:r>
    </w:p>
    <w:tbl>
      <w:tblPr>
        <w:tblW w:w="8995" w:type="dxa"/>
        <w:jc w:val="center"/>
        <w:tblCellMar>
          <w:left w:w="10" w:type="dxa"/>
          <w:right w:w="10" w:type="dxa"/>
        </w:tblCellMar>
        <w:tblLook w:val="0000" w:firstRow="0" w:lastRow="0" w:firstColumn="0" w:lastColumn="0" w:noHBand="0" w:noVBand="0"/>
      </w:tblPr>
      <w:tblGrid>
        <w:gridCol w:w="2206"/>
        <w:gridCol w:w="1544"/>
        <w:gridCol w:w="1701"/>
        <w:gridCol w:w="1797"/>
        <w:gridCol w:w="1747"/>
      </w:tblGrid>
      <w:tr w:rsidR="00367F87" w:rsidRPr="005C613A" w:rsidTr="00681530">
        <w:trPr>
          <w:trHeight w:val="300"/>
          <w:jc w:val="center"/>
        </w:trPr>
        <w:tc>
          <w:tcPr>
            <w:tcW w:w="2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67F87" w:rsidRPr="005C613A" w:rsidRDefault="00367F87" w:rsidP="00681530">
            <w:pPr>
              <w:suppressAutoHyphens/>
              <w:autoSpaceDN w:val="0"/>
              <w:spacing w:before="0" w:after="0"/>
              <w:textAlignment w:val="baseline"/>
            </w:pPr>
            <w:r w:rsidRPr="005C613A">
              <w:rPr>
                <w:rFonts w:eastAsia="SimSun"/>
                <w:szCs w:val="20"/>
              </w:rPr>
              <w:t>Județ</w:t>
            </w:r>
          </w:p>
        </w:tc>
        <w:tc>
          <w:tcPr>
            <w:tcW w:w="1544" w:type="dxa"/>
            <w:tcBorders>
              <w:top w:val="single" w:sz="4" w:space="0" w:color="000000"/>
              <w:left w:val="single" w:sz="4" w:space="0" w:color="000000"/>
              <w:bottom w:val="single" w:sz="4" w:space="0" w:color="auto"/>
              <w:right w:val="single" w:sz="4" w:space="0" w:color="000000"/>
            </w:tcBorders>
            <w:shd w:val="clear" w:color="auto" w:fill="FFFFFF"/>
            <w:vAlign w:val="center"/>
          </w:tcPr>
          <w:p w:rsidR="00367F87" w:rsidRPr="005C613A" w:rsidRDefault="00367F87" w:rsidP="00681530">
            <w:pPr>
              <w:suppressAutoHyphens/>
              <w:autoSpaceDN w:val="0"/>
              <w:spacing w:before="0" w:after="0"/>
              <w:jc w:val="center"/>
              <w:textAlignment w:val="baseline"/>
              <w:rPr>
                <w:bCs/>
                <w:i/>
                <w:szCs w:val="20"/>
              </w:rPr>
            </w:pPr>
            <w:r w:rsidRPr="005C613A">
              <w:rPr>
                <w:bCs/>
                <w:i/>
                <w:szCs w:val="20"/>
              </w:rPr>
              <w:t>Valoare eligibilă PNRR</w:t>
            </w:r>
            <w:r>
              <w:rPr>
                <w:bCs/>
                <w:i/>
                <w:szCs w:val="20"/>
              </w:rPr>
              <w:t xml:space="preserve"> renovare moderată </w:t>
            </w:r>
            <w:r w:rsidRPr="005C613A">
              <w:rPr>
                <w:bCs/>
                <w:i/>
                <w:szCs w:val="20"/>
              </w:rPr>
              <w:br/>
              <w:t>(euro)</w:t>
            </w:r>
          </w:p>
        </w:tc>
        <w:tc>
          <w:tcPr>
            <w:tcW w:w="1701" w:type="dxa"/>
            <w:tcBorders>
              <w:top w:val="single" w:sz="4" w:space="0" w:color="000000"/>
              <w:left w:val="single" w:sz="4" w:space="0" w:color="000000"/>
              <w:bottom w:val="single" w:sz="4" w:space="0" w:color="auto"/>
              <w:right w:val="single" w:sz="4" w:space="0" w:color="000000"/>
            </w:tcBorders>
            <w:shd w:val="clear" w:color="auto" w:fill="FFFFFF"/>
            <w:vAlign w:val="center"/>
          </w:tcPr>
          <w:p w:rsidR="00367F87" w:rsidRPr="005C613A" w:rsidRDefault="00367F87" w:rsidP="00681530">
            <w:pPr>
              <w:suppressAutoHyphens/>
              <w:autoSpaceDN w:val="0"/>
              <w:spacing w:before="0" w:after="0"/>
              <w:jc w:val="center"/>
              <w:textAlignment w:val="baseline"/>
              <w:rPr>
                <w:bCs/>
                <w:i/>
                <w:szCs w:val="20"/>
              </w:rPr>
            </w:pPr>
            <w:r w:rsidRPr="0009143B">
              <w:rPr>
                <w:bCs/>
                <w:i/>
                <w:szCs w:val="20"/>
              </w:rPr>
              <w:t>Valoare suplimentară cf. OUG 124/2021* (euro)</w:t>
            </w:r>
            <w:r w:rsidRPr="0009143B">
              <w:rPr>
                <w:bCs/>
                <w:i/>
                <w:szCs w:val="20"/>
              </w:rPr>
              <w:tab/>
            </w:r>
          </w:p>
        </w:tc>
        <w:tc>
          <w:tcPr>
            <w:tcW w:w="1797" w:type="dxa"/>
            <w:tcBorders>
              <w:top w:val="single" w:sz="4" w:space="0" w:color="000000"/>
              <w:left w:val="single" w:sz="4" w:space="0" w:color="000000"/>
              <w:bottom w:val="single" w:sz="4" w:space="0" w:color="auto"/>
              <w:right w:val="single" w:sz="4" w:space="0" w:color="000000"/>
            </w:tcBorders>
            <w:shd w:val="clear" w:color="auto" w:fill="FFFFFF"/>
            <w:vAlign w:val="center"/>
          </w:tcPr>
          <w:p w:rsidR="00367F87" w:rsidRPr="005C613A" w:rsidRDefault="00367F87" w:rsidP="00681530">
            <w:pPr>
              <w:suppressAutoHyphens/>
              <w:autoSpaceDN w:val="0"/>
              <w:spacing w:before="0" w:after="0"/>
              <w:jc w:val="center"/>
              <w:textAlignment w:val="baseline"/>
              <w:rPr>
                <w:bCs/>
                <w:i/>
                <w:szCs w:val="20"/>
              </w:rPr>
            </w:pPr>
            <w:r>
              <w:rPr>
                <w:bCs/>
                <w:i/>
                <w:szCs w:val="20"/>
              </w:rPr>
              <w:t xml:space="preserve">Valoare cumulată </w:t>
            </w:r>
            <w:proofErr w:type="spellStart"/>
            <w:r>
              <w:rPr>
                <w:bCs/>
                <w:i/>
                <w:szCs w:val="20"/>
              </w:rPr>
              <w:t>PNRR+sume</w:t>
            </w:r>
            <w:proofErr w:type="spellEnd"/>
            <w:r>
              <w:rPr>
                <w:bCs/>
                <w:i/>
                <w:szCs w:val="20"/>
              </w:rPr>
              <w:t xml:space="preserve"> OUG 124/2021</w:t>
            </w:r>
          </w:p>
        </w:tc>
        <w:tc>
          <w:tcPr>
            <w:tcW w:w="1747" w:type="dxa"/>
            <w:tcBorders>
              <w:top w:val="single" w:sz="4" w:space="0" w:color="000000"/>
              <w:left w:val="single" w:sz="4" w:space="0" w:color="000000"/>
              <w:bottom w:val="single" w:sz="4" w:space="0" w:color="auto"/>
              <w:right w:val="single" w:sz="4" w:space="0" w:color="000000"/>
            </w:tcBorders>
            <w:shd w:val="clear" w:color="auto" w:fill="FFFFFF"/>
            <w:vAlign w:val="center"/>
          </w:tcPr>
          <w:p w:rsidR="00367F87" w:rsidRPr="005C613A" w:rsidRDefault="00367F87" w:rsidP="00681530">
            <w:pPr>
              <w:suppressAutoHyphens/>
              <w:autoSpaceDN w:val="0"/>
              <w:spacing w:before="0" w:after="0"/>
              <w:jc w:val="center"/>
              <w:textAlignment w:val="baseline"/>
              <w:rPr>
                <w:bCs/>
                <w:i/>
                <w:szCs w:val="20"/>
              </w:rPr>
            </w:pPr>
            <w:r w:rsidRPr="0009143B">
              <w:rPr>
                <w:bCs/>
                <w:i/>
                <w:szCs w:val="20"/>
              </w:rPr>
              <w:t>Valoare totală eligibilă</w:t>
            </w:r>
            <w:r>
              <w:rPr>
                <w:bCs/>
                <w:i/>
                <w:szCs w:val="20"/>
                <w:vertAlign w:val="superscript"/>
              </w:rPr>
              <w:t>**</w:t>
            </w:r>
            <w:r w:rsidRPr="0009143B">
              <w:rPr>
                <w:bCs/>
                <w:i/>
                <w:szCs w:val="20"/>
              </w:rPr>
              <w:t xml:space="preserve"> (euro)</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ALBA</w:t>
            </w:r>
          </w:p>
        </w:tc>
        <w:tc>
          <w:tcPr>
            <w:tcW w:w="1544" w:type="dxa"/>
            <w:tcBorders>
              <w:top w:val="single" w:sz="4" w:space="0" w:color="auto"/>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1.342.700</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402.810</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1.745.510</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1.658.234</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ARAD</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1.469.261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440.778</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1.910.040</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1.814.538</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ARGEȘ</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1.706.733</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512.020</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2.218.753</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2.107.816</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BACĂU</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1.836.891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551.067</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2.387.959</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2.268.561</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BIHOR</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1.902.647</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570.794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2.473.441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2.349.769</w:t>
            </w:r>
          </w:p>
        </w:tc>
      </w:tr>
      <w:tr w:rsidR="00367F87" w:rsidRPr="002874AD" w:rsidTr="00681530">
        <w:trPr>
          <w:trHeight w:val="33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BISTRIȚA-NĂSĂUD</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1.097.504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329.251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1.426.755</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1.355.417</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BOTOȘANI</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1.328.881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398.664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1.727.546</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1.641.169</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BRAȘOV</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2.013.081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603.924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2.617.005</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2.486.155</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BRĂILA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1.139.613</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341.884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1.481.497</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1.407.422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BUZĂU</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1.471.371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441.411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1.912.782</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1.817.143</w:t>
            </w:r>
          </w:p>
        </w:tc>
      </w:tr>
      <w:tr w:rsidR="00367F87" w:rsidRPr="002874AD" w:rsidTr="00681530">
        <w:trPr>
          <w:trHeight w:val="33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CARAȘ-SEVERIN</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1.218.381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365.514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1.583.895</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1.504.700</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CĂLĂRAȘI</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1.074.255</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322.276</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1.396.531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1.326.705</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CLUJ</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2.323.631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697.089</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3.020.720</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2.869.684</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CONSTANȚA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2.104.066</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631.220</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2.735.286</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2.598.521</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COVASNA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1.003.249</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300.975</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1.304.224</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1.239.012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DÂMBOVIȚA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1.461.319</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438.396</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1.899.714</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1.804.729</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DOLJ</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2.001.932</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600.580</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2.602.511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2.472.386</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GALAȚI</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1.583.370</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475.011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2.058.381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1.955.462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GIURGIU</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1.005.356</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301.607</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1.306.962</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1.241.614</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lastRenderedPageBreak/>
              <w:t>GORJ</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1.167.767</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350.330</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1.518.097</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1.442.192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HARGHITA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1.210.511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363.153</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1.573.665</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1.494.982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HUNEDOARA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1.595.605</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478.681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2.074.286</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1.970.572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IALOMIȚA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1.076.638</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322.991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1.399.629</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1.329.648</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IAȘI</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2.151.512</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645.454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2.796.966</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2.657.117</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ILFOV</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1.463.584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439.075</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1.902.659</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1.807.526</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MARAMUREȘ</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1.508.871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452.661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1.961.532</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1.863.455</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MEHEDINȚI</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1.049.416</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314.825</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1.364.241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1.296.029</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MUREȘ</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1.898.891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569.667</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2.468.558</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2.345.130</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NEAMȚ</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1.443.891</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433.167</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1.877.059</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1.783.206</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OLT</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1.324.554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397.366</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1.721.921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1.635.825</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PRAHOVA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2.105.572</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631.672</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2.737.244</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2.600.382</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SATU MARE</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1.370.247</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411.074</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1.781.321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1.692.255</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SĂLAJ</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1.079.438</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323.832</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1.403.270</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1.333.106</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SIBIU</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1.468.116</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440.435</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1.908.550</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1.813.123</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SUCEAVA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1.771.017</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531.305</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2.302.322</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2.187.206</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TELEORMAN</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1.164.072</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349.222</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1.513.294</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1.437.629</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TIMIȘ</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2.426.254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727.876</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3.154.130</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2.996.423</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TULCEA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950.467</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285.140</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1.235.608</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1.173.827</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VASLUI</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1.249.124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374.737</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1.623.861</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1.542.668</w:t>
            </w:r>
          </w:p>
        </w:tc>
      </w:tr>
      <w:tr w:rsidR="00367F87" w:rsidRPr="002874AD" w:rsidTr="00681530">
        <w:trPr>
          <w:trHeight w:val="300"/>
          <w:jc w:val="center"/>
        </w:trPr>
        <w:tc>
          <w:tcPr>
            <w:tcW w:w="2206" w:type="dxa"/>
            <w:tcBorders>
              <w:top w:val="nil"/>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VÂLCEA</w:t>
            </w:r>
          </w:p>
        </w:tc>
        <w:tc>
          <w:tcPr>
            <w:tcW w:w="1544" w:type="dxa"/>
            <w:tcBorders>
              <w:top w:val="nil"/>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1.204.674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361.402</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1.566.077</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1.487.773</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rPr>
                <w:szCs w:val="20"/>
              </w:rPr>
            </w:pPr>
            <w:r w:rsidRPr="005C613A">
              <w:t>VRANCEA</w:t>
            </w:r>
          </w:p>
        </w:tc>
        <w:tc>
          <w:tcPr>
            <w:tcW w:w="1544" w:type="dxa"/>
            <w:tcBorders>
              <w:top w:val="single" w:sz="4" w:space="0" w:color="auto"/>
              <w:left w:val="single" w:sz="4" w:space="0" w:color="auto"/>
              <w:bottom w:val="single" w:sz="4" w:space="0" w:color="auto"/>
              <w:right w:val="single" w:sz="4" w:space="0" w:color="auto"/>
            </w:tcBorders>
            <w:vAlign w:val="bottom"/>
          </w:tcPr>
          <w:p w:rsidR="00367F87" w:rsidRDefault="00367F87" w:rsidP="00681530">
            <w:pPr>
              <w:spacing w:before="0" w:after="0"/>
              <w:jc w:val="center"/>
              <w:rPr>
                <w:color w:val="000000"/>
              </w:rPr>
            </w:pPr>
            <w:r>
              <w:rPr>
                <w:color w:val="000000"/>
              </w:rPr>
              <w:t>1.307.194</w:t>
            </w:r>
          </w:p>
        </w:tc>
        <w:tc>
          <w:tcPr>
            <w:tcW w:w="1701" w:type="dxa"/>
            <w:tcBorders>
              <w:top w:val="single" w:sz="4" w:space="0" w:color="auto"/>
              <w:left w:val="nil"/>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392.158</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1.699.352</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Default="00367F87" w:rsidP="00681530">
            <w:pPr>
              <w:spacing w:before="0" w:after="0"/>
              <w:jc w:val="center"/>
              <w:rPr>
                <w:color w:val="000000"/>
              </w:rPr>
            </w:pPr>
            <w:r w:rsidRPr="00682BD9">
              <w:rPr>
                <w:color w:val="000000"/>
              </w:rPr>
              <w:t>1.614.384</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rsidR="00367F87" w:rsidRPr="005C613A" w:rsidRDefault="00367F87" w:rsidP="00681530">
            <w:pPr>
              <w:suppressAutoHyphens/>
              <w:autoSpaceDN w:val="0"/>
              <w:spacing w:before="0" w:after="0"/>
              <w:textAlignment w:val="baseline"/>
            </w:pPr>
            <w:r>
              <w:t>BUCUREȘTI – sector 1</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949.037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 xml:space="preserve">284.711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571DD5">
              <w:rPr>
                <w:color w:val="000000"/>
              </w:rPr>
              <w:t xml:space="preserve">1.233.749     </w:t>
            </w:r>
          </w:p>
        </w:tc>
        <w:tc>
          <w:tcPr>
            <w:tcW w:w="1747" w:type="dxa"/>
            <w:tcBorders>
              <w:top w:val="single" w:sz="4" w:space="0" w:color="auto"/>
              <w:left w:val="single" w:sz="4" w:space="0" w:color="auto"/>
              <w:bottom w:val="single" w:sz="4" w:space="0" w:color="auto"/>
              <w:right w:val="single" w:sz="4" w:space="0" w:color="auto"/>
            </w:tcBorders>
            <w:vAlign w:val="bottom"/>
          </w:tcPr>
          <w:p w:rsidR="00367F87" w:rsidRPr="00175AD5" w:rsidRDefault="00367F87" w:rsidP="00681530">
            <w:pPr>
              <w:spacing w:before="0" w:after="0"/>
              <w:jc w:val="center"/>
              <w:rPr>
                <w:color w:val="000000"/>
              </w:rPr>
            </w:pPr>
            <w:r w:rsidRPr="00682BD9">
              <w:rPr>
                <w:color w:val="000000"/>
              </w:rPr>
              <w:t xml:space="preserve">1.172.061     </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7F87" w:rsidRDefault="00367F87" w:rsidP="00681530">
            <w:pPr>
              <w:suppressAutoHyphens/>
              <w:autoSpaceDN w:val="0"/>
              <w:spacing w:before="0" w:after="0"/>
              <w:textAlignment w:val="baseline"/>
            </w:pPr>
            <w:r>
              <w:t>BUCUREȘTI – sector 2</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1.065.783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 xml:space="preserve">319.735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571DD5">
              <w:rPr>
                <w:color w:val="000000"/>
              </w:rPr>
              <w:t xml:space="preserve">1.385.518     </w:t>
            </w:r>
          </w:p>
        </w:tc>
        <w:tc>
          <w:tcPr>
            <w:tcW w:w="1747" w:type="dxa"/>
            <w:tcBorders>
              <w:top w:val="single" w:sz="4" w:space="0" w:color="auto"/>
              <w:left w:val="single" w:sz="4" w:space="0" w:color="auto"/>
              <w:bottom w:val="single" w:sz="4" w:space="0" w:color="auto"/>
              <w:right w:val="single" w:sz="4" w:space="0" w:color="auto"/>
            </w:tcBorders>
            <w:vAlign w:val="bottom"/>
          </w:tcPr>
          <w:p w:rsidR="00367F87" w:rsidRPr="00175AD5" w:rsidRDefault="00367F87" w:rsidP="00681530">
            <w:pPr>
              <w:spacing w:before="0" w:after="0"/>
              <w:jc w:val="center"/>
              <w:rPr>
                <w:color w:val="000000"/>
              </w:rPr>
            </w:pPr>
            <w:r w:rsidRPr="00682BD9">
              <w:rPr>
                <w:color w:val="000000"/>
              </w:rPr>
              <w:t xml:space="preserve">1.316.242     </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7F87" w:rsidRDefault="00367F87" w:rsidP="00681530">
            <w:pPr>
              <w:suppressAutoHyphens/>
              <w:autoSpaceDN w:val="0"/>
              <w:spacing w:before="0" w:after="0"/>
              <w:textAlignment w:val="baseline"/>
            </w:pPr>
            <w:r>
              <w:t>BUCUREȘTI – sector 3</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1.147.588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 xml:space="preserve">  344.276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571DD5">
              <w:rPr>
                <w:color w:val="000000"/>
              </w:rPr>
              <w:t xml:space="preserve">1.491.864     </w:t>
            </w:r>
          </w:p>
        </w:tc>
        <w:tc>
          <w:tcPr>
            <w:tcW w:w="1747" w:type="dxa"/>
            <w:tcBorders>
              <w:top w:val="single" w:sz="4" w:space="0" w:color="auto"/>
              <w:left w:val="single" w:sz="4" w:space="0" w:color="auto"/>
              <w:bottom w:val="single" w:sz="4" w:space="0" w:color="auto"/>
              <w:right w:val="single" w:sz="4" w:space="0" w:color="auto"/>
            </w:tcBorders>
            <w:vAlign w:val="bottom"/>
          </w:tcPr>
          <w:p w:rsidR="00367F87" w:rsidRPr="00175AD5" w:rsidRDefault="00367F87" w:rsidP="00681530">
            <w:pPr>
              <w:spacing w:before="0" w:after="0"/>
              <w:jc w:val="center"/>
              <w:rPr>
                <w:color w:val="000000"/>
              </w:rPr>
            </w:pPr>
            <w:r w:rsidRPr="00682BD9">
              <w:rPr>
                <w:color w:val="000000"/>
              </w:rPr>
              <w:t xml:space="preserve">1.417.271     </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7F87" w:rsidRDefault="00367F87" w:rsidP="00681530">
            <w:pPr>
              <w:suppressAutoHyphens/>
              <w:autoSpaceDN w:val="0"/>
              <w:spacing w:before="0" w:after="0"/>
              <w:textAlignment w:val="baseline"/>
            </w:pPr>
            <w:r>
              <w:t>BUCUREȘTI – sector 4</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906.058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 xml:space="preserve">271.817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571DD5">
              <w:rPr>
                <w:color w:val="000000"/>
              </w:rPr>
              <w:t xml:space="preserve">1.177.875     </w:t>
            </w:r>
          </w:p>
        </w:tc>
        <w:tc>
          <w:tcPr>
            <w:tcW w:w="1747" w:type="dxa"/>
            <w:tcBorders>
              <w:top w:val="single" w:sz="4" w:space="0" w:color="auto"/>
              <w:left w:val="single" w:sz="4" w:space="0" w:color="auto"/>
              <w:bottom w:val="single" w:sz="4" w:space="0" w:color="auto"/>
              <w:right w:val="single" w:sz="4" w:space="0" w:color="auto"/>
            </w:tcBorders>
            <w:vAlign w:val="bottom"/>
          </w:tcPr>
          <w:p w:rsidR="00367F87" w:rsidRPr="00175AD5" w:rsidRDefault="00367F87" w:rsidP="00681530">
            <w:pPr>
              <w:spacing w:before="0" w:after="0"/>
              <w:jc w:val="center"/>
              <w:rPr>
                <w:color w:val="000000"/>
              </w:rPr>
            </w:pPr>
            <w:r w:rsidRPr="00682BD9">
              <w:rPr>
                <w:color w:val="000000"/>
              </w:rPr>
              <w:t>1.118.981</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7F87" w:rsidRDefault="00367F87" w:rsidP="00681530">
            <w:pPr>
              <w:suppressAutoHyphens/>
              <w:autoSpaceDN w:val="0"/>
              <w:spacing w:before="0" w:after="0"/>
              <w:textAlignment w:val="baseline"/>
            </w:pPr>
            <w:r>
              <w:t>BUCUREȘTI – sector 5</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864.145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 xml:space="preserve">259.244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571DD5">
              <w:rPr>
                <w:color w:val="000000"/>
              </w:rPr>
              <w:t xml:space="preserve">1.123.389     </w:t>
            </w:r>
          </w:p>
        </w:tc>
        <w:tc>
          <w:tcPr>
            <w:tcW w:w="1747" w:type="dxa"/>
            <w:tcBorders>
              <w:top w:val="single" w:sz="4" w:space="0" w:color="auto"/>
              <w:left w:val="single" w:sz="4" w:space="0" w:color="auto"/>
              <w:bottom w:val="single" w:sz="4" w:space="0" w:color="auto"/>
              <w:right w:val="single" w:sz="4" w:space="0" w:color="auto"/>
            </w:tcBorders>
            <w:vAlign w:val="bottom"/>
          </w:tcPr>
          <w:p w:rsidR="00367F87" w:rsidRPr="00175AD5" w:rsidRDefault="00367F87" w:rsidP="00681530">
            <w:pPr>
              <w:spacing w:before="0" w:after="0"/>
              <w:jc w:val="center"/>
              <w:rPr>
                <w:color w:val="000000"/>
              </w:rPr>
            </w:pPr>
            <w:r w:rsidRPr="00682BD9">
              <w:rPr>
                <w:color w:val="000000"/>
              </w:rPr>
              <w:t xml:space="preserve"> 1.067.219     </w:t>
            </w:r>
          </w:p>
        </w:tc>
      </w:tr>
      <w:tr w:rsidR="00367F87" w:rsidRPr="002874AD" w:rsidTr="00681530">
        <w:trPr>
          <w:trHeight w:val="300"/>
          <w:jc w:val="center"/>
        </w:trPr>
        <w:tc>
          <w:tcPr>
            <w:tcW w:w="22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7F87" w:rsidRDefault="00367F87" w:rsidP="00681530">
            <w:pPr>
              <w:suppressAutoHyphens/>
              <w:autoSpaceDN w:val="0"/>
              <w:spacing w:before="0" w:after="0"/>
              <w:textAlignment w:val="baseline"/>
            </w:pPr>
            <w:r>
              <w:t>BUCUREȘTI – sector 6</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995.731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682BD9">
              <w:rPr>
                <w:color w:val="000000"/>
              </w:rPr>
              <w:t xml:space="preserve">298.719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bottom"/>
          </w:tcPr>
          <w:p w:rsidR="00367F87" w:rsidRPr="00175AD5" w:rsidRDefault="00367F87" w:rsidP="00681530">
            <w:pPr>
              <w:spacing w:before="0" w:after="0"/>
              <w:jc w:val="center"/>
              <w:rPr>
                <w:color w:val="000000"/>
              </w:rPr>
            </w:pPr>
            <w:r w:rsidRPr="00571DD5">
              <w:rPr>
                <w:color w:val="000000"/>
              </w:rPr>
              <w:t xml:space="preserve">1.294.451     </w:t>
            </w:r>
          </w:p>
        </w:tc>
        <w:tc>
          <w:tcPr>
            <w:tcW w:w="1747" w:type="dxa"/>
            <w:tcBorders>
              <w:top w:val="single" w:sz="4" w:space="0" w:color="auto"/>
              <w:left w:val="single" w:sz="4" w:space="0" w:color="auto"/>
              <w:bottom w:val="single" w:sz="4" w:space="0" w:color="auto"/>
              <w:right w:val="single" w:sz="4" w:space="0" w:color="auto"/>
            </w:tcBorders>
            <w:vAlign w:val="bottom"/>
          </w:tcPr>
          <w:p w:rsidR="00367F87" w:rsidRPr="00175AD5" w:rsidRDefault="00367F87" w:rsidP="00681530">
            <w:pPr>
              <w:spacing w:before="0" w:after="0"/>
              <w:jc w:val="center"/>
              <w:rPr>
                <w:color w:val="000000"/>
              </w:rPr>
            </w:pPr>
            <w:r w:rsidRPr="00682BD9">
              <w:rPr>
                <w:color w:val="000000"/>
              </w:rPr>
              <w:t>1.229.728</w:t>
            </w:r>
          </w:p>
        </w:tc>
      </w:tr>
    </w:tbl>
    <w:p w:rsidR="00367F87" w:rsidRDefault="00367F87" w:rsidP="00367F87">
      <w:pPr>
        <w:spacing w:before="0"/>
        <w:jc w:val="both"/>
        <w:rPr>
          <w:iCs/>
          <w:noProof/>
          <w:szCs w:val="20"/>
          <w:lang w:eastAsia="ro-RO"/>
        </w:rPr>
      </w:pPr>
    </w:p>
    <w:p w:rsidR="00367F87" w:rsidRDefault="00367F87" w:rsidP="00367F87">
      <w:pPr>
        <w:spacing w:before="0"/>
        <w:jc w:val="both"/>
        <w:rPr>
          <w:rFonts w:eastAsia="SimSun"/>
          <w:b/>
        </w:rPr>
      </w:pPr>
      <w:r w:rsidRPr="004C103A">
        <w:rPr>
          <w:iCs/>
          <w:noProof/>
          <w:szCs w:val="20"/>
          <w:lang w:eastAsia="ro-RO"/>
        </w:rPr>
        <w:t xml:space="preserve">Alocare pentru </w:t>
      </w:r>
      <w:r w:rsidRPr="004C103A">
        <w:rPr>
          <w:b/>
          <w:iCs/>
          <w:noProof/>
          <w:szCs w:val="20"/>
          <w:lang w:eastAsia="ro-RO"/>
        </w:rPr>
        <w:t xml:space="preserve">finanțarea schemelor de ajutor de stat în cuantum de </w:t>
      </w:r>
      <w:r>
        <w:rPr>
          <w:b/>
          <w:iCs/>
          <w:noProof/>
          <w:szCs w:val="20"/>
          <w:lang w:eastAsia="ro-RO"/>
        </w:rPr>
        <w:t>4.355.000</w:t>
      </w:r>
      <w:r w:rsidRPr="004C103A">
        <w:rPr>
          <w:b/>
          <w:iCs/>
          <w:noProof/>
          <w:szCs w:val="20"/>
          <w:lang w:eastAsia="ro-RO"/>
        </w:rPr>
        <w:t xml:space="preserve"> Euro</w:t>
      </w:r>
      <w:r>
        <w:rPr>
          <w:b/>
          <w:iCs/>
          <w:noProof/>
          <w:szCs w:val="20"/>
          <w:lang w:eastAsia="ro-RO"/>
        </w:rPr>
        <w:t xml:space="preserve"> va fi pusă la dispoziția tuturor solicitanților, funcție de necesarul identificat în cadrul proiectelor.</w:t>
      </w:r>
    </w:p>
    <w:p w:rsidR="00367F87" w:rsidRDefault="00367F87" w:rsidP="00367F87">
      <w:pPr>
        <w:spacing w:before="0"/>
        <w:jc w:val="both"/>
        <w:rPr>
          <w:rFonts w:eastAsia="SimSun"/>
          <w:b/>
          <w:bCs/>
          <w:lang w:val="en-US"/>
        </w:rPr>
      </w:pPr>
      <w:proofErr w:type="spellStart"/>
      <w:r>
        <w:rPr>
          <w:rFonts w:eastAsia="SimSun"/>
          <w:b/>
          <w:bCs/>
          <w:lang w:val="en-US"/>
        </w:rPr>
        <w:t>După</w:t>
      </w:r>
      <w:proofErr w:type="spellEnd"/>
      <w:r>
        <w:rPr>
          <w:rFonts w:eastAsia="SimSun"/>
          <w:b/>
          <w:bCs/>
          <w:lang w:val="en-US"/>
        </w:rPr>
        <w:t xml:space="preserve"> prima </w:t>
      </w:r>
      <w:proofErr w:type="spellStart"/>
      <w:r>
        <w:rPr>
          <w:rFonts w:eastAsia="SimSun"/>
          <w:b/>
          <w:bCs/>
          <w:lang w:val="en-US"/>
        </w:rPr>
        <w:t>rundă</w:t>
      </w:r>
      <w:proofErr w:type="spellEnd"/>
      <w:r>
        <w:rPr>
          <w:rFonts w:eastAsia="SimSun"/>
          <w:b/>
          <w:bCs/>
          <w:lang w:val="en-US"/>
        </w:rPr>
        <w:t xml:space="preserve">, </w:t>
      </w:r>
      <w:proofErr w:type="spellStart"/>
      <w:r>
        <w:rPr>
          <w:rFonts w:eastAsia="SimSun"/>
          <w:b/>
          <w:bCs/>
          <w:lang w:val="en-US"/>
        </w:rPr>
        <w:t>dacă</w:t>
      </w:r>
      <w:proofErr w:type="spellEnd"/>
      <w:r>
        <w:rPr>
          <w:rFonts w:eastAsia="SimSun"/>
          <w:b/>
          <w:bCs/>
          <w:lang w:val="en-US"/>
        </w:rPr>
        <w:t xml:space="preserve"> </w:t>
      </w:r>
      <w:proofErr w:type="spellStart"/>
      <w:r>
        <w:rPr>
          <w:rFonts w:eastAsia="SimSun"/>
          <w:b/>
          <w:bCs/>
          <w:lang w:val="en-US"/>
        </w:rPr>
        <w:t>suma</w:t>
      </w:r>
      <w:proofErr w:type="spellEnd"/>
      <w:r>
        <w:rPr>
          <w:rFonts w:eastAsia="SimSun"/>
          <w:b/>
          <w:bCs/>
          <w:lang w:val="en-US"/>
        </w:rPr>
        <w:t xml:space="preserve"> </w:t>
      </w:r>
      <w:proofErr w:type="spellStart"/>
      <w:r>
        <w:rPr>
          <w:rFonts w:eastAsia="SimSun"/>
          <w:b/>
          <w:bCs/>
          <w:lang w:val="en-US"/>
        </w:rPr>
        <w:t>aferentă</w:t>
      </w:r>
      <w:proofErr w:type="spellEnd"/>
      <w:r>
        <w:rPr>
          <w:rFonts w:eastAsia="SimSun"/>
          <w:b/>
          <w:bCs/>
          <w:lang w:val="en-US"/>
        </w:rPr>
        <w:t xml:space="preserve"> </w:t>
      </w:r>
      <w:proofErr w:type="spellStart"/>
      <w:r>
        <w:rPr>
          <w:rFonts w:eastAsia="SimSun"/>
          <w:b/>
          <w:bCs/>
          <w:lang w:val="en-US"/>
        </w:rPr>
        <w:t>finanțării</w:t>
      </w:r>
      <w:proofErr w:type="spellEnd"/>
      <w:r>
        <w:rPr>
          <w:rFonts w:eastAsia="SimSun"/>
          <w:b/>
          <w:bCs/>
          <w:lang w:val="en-US"/>
        </w:rPr>
        <w:t xml:space="preserve"> </w:t>
      </w:r>
      <w:proofErr w:type="spellStart"/>
      <w:r>
        <w:rPr>
          <w:rFonts w:eastAsia="SimSun"/>
          <w:b/>
          <w:bCs/>
          <w:lang w:val="en-US"/>
        </w:rPr>
        <w:t>ajutorului</w:t>
      </w:r>
      <w:proofErr w:type="spellEnd"/>
      <w:r>
        <w:rPr>
          <w:rFonts w:eastAsia="SimSun"/>
          <w:b/>
          <w:bCs/>
          <w:lang w:val="en-US"/>
        </w:rPr>
        <w:t xml:space="preserve"> de stat nu </w:t>
      </w:r>
      <w:proofErr w:type="spellStart"/>
      <w:r>
        <w:rPr>
          <w:rFonts w:eastAsia="SimSun"/>
          <w:b/>
          <w:bCs/>
          <w:lang w:val="en-US"/>
        </w:rPr>
        <w:t>este</w:t>
      </w:r>
      <w:proofErr w:type="spellEnd"/>
      <w:r>
        <w:rPr>
          <w:rFonts w:eastAsia="SimSun"/>
          <w:b/>
          <w:bCs/>
          <w:lang w:val="en-US"/>
        </w:rPr>
        <w:t xml:space="preserve"> </w:t>
      </w:r>
      <w:proofErr w:type="spellStart"/>
      <w:r>
        <w:rPr>
          <w:rFonts w:eastAsia="SimSun"/>
          <w:b/>
          <w:bCs/>
          <w:lang w:val="en-US"/>
        </w:rPr>
        <w:t>utilizată</w:t>
      </w:r>
      <w:proofErr w:type="spellEnd"/>
      <w:r>
        <w:rPr>
          <w:rFonts w:eastAsia="SimSun"/>
          <w:b/>
          <w:bCs/>
          <w:lang w:val="en-US"/>
        </w:rPr>
        <w:t xml:space="preserve"> integral, </w:t>
      </w:r>
      <w:proofErr w:type="spellStart"/>
      <w:r>
        <w:rPr>
          <w:rFonts w:eastAsia="SimSun"/>
          <w:b/>
          <w:bCs/>
          <w:lang w:val="en-US"/>
        </w:rPr>
        <w:t>diferența</w:t>
      </w:r>
      <w:proofErr w:type="spellEnd"/>
      <w:r>
        <w:rPr>
          <w:rFonts w:eastAsia="SimSun"/>
          <w:b/>
          <w:bCs/>
          <w:lang w:val="en-US"/>
        </w:rPr>
        <w:t xml:space="preserve"> </w:t>
      </w:r>
      <w:proofErr w:type="spellStart"/>
      <w:r>
        <w:rPr>
          <w:rFonts w:eastAsia="SimSun"/>
          <w:b/>
          <w:bCs/>
          <w:lang w:val="en-US"/>
        </w:rPr>
        <w:t>rămasă</w:t>
      </w:r>
      <w:proofErr w:type="spellEnd"/>
      <w:r>
        <w:rPr>
          <w:rFonts w:eastAsia="SimSun"/>
          <w:b/>
          <w:bCs/>
          <w:lang w:val="en-US"/>
        </w:rPr>
        <w:t xml:space="preserve"> </w:t>
      </w:r>
      <w:proofErr w:type="spellStart"/>
      <w:r>
        <w:rPr>
          <w:rFonts w:eastAsia="SimSun"/>
          <w:b/>
          <w:bCs/>
          <w:lang w:val="en-US"/>
        </w:rPr>
        <w:t>va</w:t>
      </w:r>
      <w:proofErr w:type="spellEnd"/>
      <w:r>
        <w:rPr>
          <w:rFonts w:eastAsia="SimSun"/>
          <w:b/>
          <w:bCs/>
          <w:lang w:val="en-US"/>
        </w:rPr>
        <w:t xml:space="preserve"> fi </w:t>
      </w:r>
      <w:proofErr w:type="spellStart"/>
      <w:r>
        <w:rPr>
          <w:rFonts w:eastAsia="SimSun"/>
          <w:b/>
          <w:bCs/>
          <w:lang w:val="en-US"/>
        </w:rPr>
        <w:t>pusă</w:t>
      </w:r>
      <w:proofErr w:type="spellEnd"/>
      <w:r>
        <w:rPr>
          <w:rFonts w:eastAsia="SimSun"/>
          <w:b/>
          <w:bCs/>
          <w:lang w:val="en-US"/>
        </w:rPr>
        <w:t xml:space="preserve"> la </w:t>
      </w:r>
      <w:proofErr w:type="spellStart"/>
      <w:r>
        <w:rPr>
          <w:rFonts w:eastAsia="SimSun"/>
          <w:b/>
          <w:bCs/>
          <w:lang w:val="en-US"/>
        </w:rPr>
        <w:t>dispoziția</w:t>
      </w:r>
      <w:proofErr w:type="spellEnd"/>
      <w:r>
        <w:rPr>
          <w:rFonts w:eastAsia="SimSun"/>
          <w:b/>
          <w:bCs/>
          <w:lang w:val="en-US"/>
        </w:rPr>
        <w:t xml:space="preserve"> </w:t>
      </w:r>
      <w:proofErr w:type="spellStart"/>
      <w:r>
        <w:rPr>
          <w:rFonts w:eastAsia="SimSun"/>
          <w:b/>
          <w:bCs/>
          <w:lang w:val="en-US"/>
        </w:rPr>
        <w:t>solicitanților</w:t>
      </w:r>
      <w:proofErr w:type="spellEnd"/>
      <w:r>
        <w:rPr>
          <w:rFonts w:eastAsia="SimSun"/>
          <w:b/>
          <w:bCs/>
          <w:lang w:val="en-US"/>
        </w:rPr>
        <w:t xml:space="preserve"> </w:t>
      </w:r>
      <w:proofErr w:type="spellStart"/>
      <w:r>
        <w:rPr>
          <w:rFonts w:eastAsia="SimSun"/>
          <w:b/>
          <w:bCs/>
          <w:lang w:val="en-US"/>
        </w:rPr>
        <w:t>în</w:t>
      </w:r>
      <w:proofErr w:type="spellEnd"/>
      <w:r>
        <w:rPr>
          <w:rFonts w:eastAsia="SimSun"/>
          <w:b/>
          <w:bCs/>
          <w:lang w:val="en-US"/>
        </w:rPr>
        <w:t xml:space="preserve"> </w:t>
      </w:r>
      <w:proofErr w:type="spellStart"/>
      <w:r>
        <w:rPr>
          <w:rFonts w:eastAsia="SimSun"/>
          <w:b/>
          <w:bCs/>
          <w:lang w:val="en-US"/>
        </w:rPr>
        <w:t>cadrul</w:t>
      </w:r>
      <w:proofErr w:type="spellEnd"/>
      <w:r>
        <w:rPr>
          <w:rFonts w:eastAsia="SimSun"/>
          <w:b/>
          <w:bCs/>
          <w:lang w:val="en-US"/>
        </w:rPr>
        <w:t xml:space="preserve"> </w:t>
      </w:r>
      <w:proofErr w:type="spellStart"/>
      <w:r>
        <w:rPr>
          <w:rFonts w:eastAsia="SimSun"/>
          <w:b/>
          <w:bCs/>
          <w:lang w:val="en-US"/>
        </w:rPr>
        <w:t>celei</w:t>
      </w:r>
      <w:proofErr w:type="spellEnd"/>
      <w:r>
        <w:rPr>
          <w:rFonts w:eastAsia="SimSun"/>
          <w:b/>
          <w:bCs/>
          <w:lang w:val="en-US"/>
        </w:rPr>
        <w:t xml:space="preserve"> de-a </w:t>
      </w:r>
      <w:proofErr w:type="spellStart"/>
      <w:r>
        <w:rPr>
          <w:rFonts w:eastAsia="SimSun"/>
          <w:b/>
          <w:bCs/>
          <w:lang w:val="en-US"/>
        </w:rPr>
        <w:t>doua</w:t>
      </w:r>
      <w:proofErr w:type="spellEnd"/>
      <w:r>
        <w:rPr>
          <w:rFonts w:eastAsia="SimSun"/>
          <w:b/>
          <w:bCs/>
          <w:lang w:val="en-US"/>
        </w:rPr>
        <w:t xml:space="preserve"> </w:t>
      </w:r>
      <w:proofErr w:type="spellStart"/>
      <w:r>
        <w:rPr>
          <w:rFonts w:eastAsia="SimSun"/>
          <w:b/>
          <w:bCs/>
          <w:lang w:val="en-US"/>
        </w:rPr>
        <w:t>runde</w:t>
      </w:r>
      <w:proofErr w:type="spellEnd"/>
      <w:r>
        <w:rPr>
          <w:rFonts w:eastAsia="SimSun"/>
          <w:b/>
          <w:bCs/>
          <w:lang w:val="en-US"/>
        </w:rPr>
        <w:t>.</w:t>
      </w:r>
    </w:p>
    <w:p w:rsidR="00715618" w:rsidRDefault="00715618" w:rsidP="00715618">
      <w:pPr>
        <w:spacing w:before="0"/>
        <w:jc w:val="both"/>
        <w:rPr>
          <w:rFonts w:eastAsia="SimSun"/>
          <w:bCs/>
          <w:lang w:val="en-US"/>
        </w:rPr>
      </w:pPr>
      <w:proofErr w:type="spellStart"/>
      <w:r w:rsidRPr="006B2B7B">
        <w:rPr>
          <w:rFonts w:eastAsia="SimSun"/>
          <w:bCs/>
          <w:lang w:val="en-US"/>
        </w:rPr>
        <w:t>Pentru</w:t>
      </w:r>
      <w:proofErr w:type="spellEnd"/>
      <w:r w:rsidRPr="006B2B7B">
        <w:rPr>
          <w:rFonts w:eastAsia="SimSun"/>
          <w:bCs/>
          <w:lang w:val="en-US"/>
        </w:rPr>
        <w:t xml:space="preserve"> </w:t>
      </w:r>
      <w:proofErr w:type="spellStart"/>
      <w:r w:rsidRPr="006B2B7B">
        <w:rPr>
          <w:rFonts w:eastAsia="SimSun"/>
          <w:b/>
          <w:bCs/>
          <w:lang w:val="en-US"/>
        </w:rPr>
        <w:t>solicitanți</w:t>
      </w:r>
      <w:r>
        <w:rPr>
          <w:rFonts w:eastAsia="SimSun"/>
          <w:b/>
          <w:bCs/>
          <w:lang w:val="en-US"/>
        </w:rPr>
        <w:t>i</w:t>
      </w:r>
      <w:proofErr w:type="spellEnd"/>
      <w:r w:rsidRPr="006B2B7B">
        <w:rPr>
          <w:rFonts w:eastAsia="SimSun"/>
          <w:bCs/>
          <w:lang w:val="en-US"/>
        </w:rPr>
        <w:t xml:space="preserve"> </w:t>
      </w:r>
      <w:r w:rsidRPr="00981EC3">
        <w:rPr>
          <w:b/>
          <w:iCs/>
          <w:noProof/>
          <w:szCs w:val="20"/>
          <w:lang w:eastAsia="ro-RO"/>
        </w:rPr>
        <w:t xml:space="preserve">eligibili </w:t>
      </w:r>
      <w:proofErr w:type="spellStart"/>
      <w:r w:rsidRPr="006B2B7B">
        <w:rPr>
          <w:rFonts w:eastAsia="SimSun"/>
          <w:bCs/>
          <w:lang w:val="en-US"/>
        </w:rPr>
        <w:t>este</w:t>
      </w:r>
      <w:proofErr w:type="spellEnd"/>
      <w:r w:rsidRPr="006B2B7B">
        <w:rPr>
          <w:rFonts w:eastAsia="SimSun"/>
          <w:bCs/>
          <w:lang w:val="en-US"/>
        </w:rPr>
        <w:t xml:space="preserve"> </w:t>
      </w:r>
      <w:proofErr w:type="spellStart"/>
      <w:r w:rsidRPr="006B2B7B">
        <w:rPr>
          <w:rFonts w:eastAsia="SimSun"/>
          <w:bCs/>
          <w:lang w:val="en-US"/>
        </w:rPr>
        <w:t>prevăzută</w:t>
      </w:r>
      <w:proofErr w:type="spellEnd"/>
      <w:r w:rsidRPr="006B2B7B">
        <w:rPr>
          <w:rFonts w:eastAsia="SimSun"/>
          <w:bCs/>
          <w:lang w:val="en-US"/>
        </w:rPr>
        <w:t xml:space="preserve"> o </w:t>
      </w:r>
      <w:proofErr w:type="spellStart"/>
      <w:r w:rsidRPr="006B2B7B">
        <w:rPr>
          <w:rFonts w:eastAsia="SimSun"/>
          <w:bCs/>
          <w:lang w:val="en-US"/>
        </w:rPr>
        <w:t>alocare</w:t>
      </w:r>
      <w:proofErr w:type="spellEnd"/>
      <w:r w:rsidRPr="006B2B7B">
        <w:rPr>
          <w:rFonts w:eastAsia="SimSun"/>
          <w:bCs/>
          <w:lang w:val="en-US"/>
        </w:rPr>
        <w:t xml:space="preserve"> </w:t>
      </w:r>
      <w:proofErr w:type="spellStart"/>
      <w:r>
        <w:rPr>
          <w:rFonts w:eastAsia="SimSun"/>
          <w:bCs/>
          <w:lang w:val="en-US"/>
        </w:rPr>
        <w:t>distinctă</w:t>
      </w:r>
      <w:proofErr w:type="spellEnd"/>
      <w:r w:rsidRPr="006B2B7B">
        <w:rPr>
          <w:rFonts w:eastAsia="SimSun"/>
          <w:bCs/>
          <w:lang w:val="en-US"/>
        </w:rPr>
        <w:t xml:space="preserve"> </w:t>
      </w:r>
      <w:proofErr w:type="spellStart"/>
      <w:r w:rsidRPr="006B2B7B">
        <w:rPr>
          <w:rFonts w:eastAsia="SimSun"/>
          <w:bCs/>
          <w:lang w:val="en-US"/>
        </w:rPr>
        <w:t>pentru</w:t>
      </w:r>
      <w:proofErr w:type="spellEnd"/>
      <w:r w:rsidRPr="006B2B7B">
        <w:rPr>
          <w:rFonts w:eastAsia="SimSun"/>
          <w:bCs/>
          <w:lang w:val="en-US"/>
        </w:rPr>
        <w:t xml:space="preserve"> </w:t>
      </w:r>
      <w:proofErr w:type="spellStart"/>
      <w:r w:rsidRPr="006B2B7B">
        <w:rPr>
          <w:rFonts w:eastAsia="SimSun"/>
          <w:bCs/>
          <w:lang w:val="en-US"/>
        </w:rPr>
        <w:t>instalarea</w:t>
      </w:r>
      <w:proofErr w:type="spellEnd"/>
      <w:r w:rsidRPr="006B2B7B">
        <w:rPr>
          <w:rFonts w:eastAsia="SimSun"/>
          <w:bCs/>
          <w:lang w:val="en-US"/>
        </w:rPr>
        <w:t xml:space="preserve"> </w:t>
      </w:r>
      <w:proofErr w:type="spellStart"/>
      <w:r w:rsidRPr="006B2B7B">
        <w:rPr>
          <w:rFonts w:eastAsia="SimSun"/>
          <w:bCs/>
          <w:lang w:val="en-US"/>
        </w:rPr>
        <w:t>stațiilor</w:t>
      </w:r>
      <w:proofErr w:type="spellEnd"/>
      <w:r w:rsidRPr="006B2B7B">
        <w:rPr>
          <w:rFonts w:eastAsia="SimSun"/>
          <w:bCs/>
          <w:lang w:val="en-US"/>
        </w:rPr>
        <w:t xml:space="preserve"> de </w:t>
      </w:r>
      <w:proofErr w:type="spellStart"/>
      <w:r w:rsidRPr="006B2B7B">
        <w:rPr>
          <w:rFonts w:eastAsia="SimSun"/>
          <w:bCs/>
          <w:lang w:val="en-US"/>
        </w:rPr>
        <w:t>încărcare</w:t>
      </w:r>
      <w:proofErr w:type="spellEnd"/>
      <w:r w:rsidRPr="006B2B7B">
        <w:rPr>
          <w:rFonts w:eastAsia="SimSun"/>
          <w:bCs/>
          <w:lang w:val="en-US"/>
        </w:rPr>
        <w:t xml:space="preserve"> </w:t>
      </w:r>
      <w:proofErr w:type="spellStart"/>
      <w:r w:rsidRPr="006B2B7B">
        <w:rPr>
          <w:rFonts w:eastAsia="SimSun"/>
          <w:bCs/>
          <w:lang w:val="en-US"/>
        </w:rPr>
        <w:t>pentru</w:t>
      </w:r>
      <w:proofErr w:type="spellEnd"/>
      <w:r w:rsidRPr="006B2B7B">
        <w:rPr>
          <w:rFonts w:eastAsia="SimSun"/>
          <w:bCs/>
          <w:lang w:val="en-US"/>
        </w:rPr>
        <w:t xml:space="preserve"> </w:t>
      </w:r>
      <w:proofErr w:type="spellStart"/>
      <w:r w:rsidRPr="006B2B7B">
        <w:rPr>
          <w:rFonts w:eastAsia="SimSun"/>
          <w:bCs/>
          <w:lang w:val="en-US"/>
        </w:rPr>
        <w:t>vehicule</w:t>
      </w:r>
      <w:proofErr w:type="spellEnd"/>
      <w:r w:rsidRPr="006B2B7B">
        <w:rPr>
          <w:rFonts w:eastAsia="SimSun"/>
          <w:bCs/>
          <w:lang w:val="en-US"/>
        </w:rPr>
        <w:t xml:space="preserve"> </w:t>
      </w:r>
      <w:proofErr w:type="spellStart"/>
      <w:r w:rsidRPr="006B2B7B">
        <w:rPr>
          <w:rFonts w:eastAsia="SimSun"/>
          <w:bCs/>
          <w:lang w:val="en-US"/>
        </w:rPr>
        <w:t>electrice</w:t>
      </w:r>
      <w:proofErr w:type="spellEnd"/>
      <w:r>
        <w:rPr>
          <w:rFonts w:eastAsia="SimSun"/>
          <w:bCs/>
          <w:lang w:val="en-US"/>
        </w:rPr>
        <w:t xml:space="preserve">, </w:t>
      </w:r>
      <w:proofErr w:type="spellStart"/>
      <w:r>
        <w:rPr>
          <w:rFonts w:eastAsia="SimSun"/>
          <w:bCs/>
          <w:lang w:val="en-US"/>
        </w:rPr>
        <w:t>astfel</w:t>
      </w:r>
      <w:proofErr w:type="spellEnd"/>
      <w:r>
        <w:rPr>
          <w:rFonts w:eastAsia="SimSun"/>
          <w:bCs/>
          <w:lang w:val="en-US"/>
        </w:rPr>
        <w:t>:</w:t>
      </w:r>
    </w:p>
    <w:p w:rsidR="00715618" w:rsidRPr="00571DD5" w:rsidRDefault="00715618" w:rsidP="00715618">
      <w:pPr>
        <w:numPr>
          <w:ilvl w:val="0"/>
          <w:numId w:val="18"/>
        </w:numPr>
        <w:spacing w:before="0"/>
        <w:jc w:val="both"/>
        <w:rPr>
          <w:rFonts w:eastAsia="SimSun"/>
          <w:b/>
        </w:rPr>
      </w:pPr>
      <w:r w:rsidRPr="00571DD5">
        <w:rPr>
          <w:rFonts w:eastAsia="SimSun"/>
          <w:b/>
        </w:rPr>
        <w:t>alocare financiară din PNRR: 1.250.000 Euro</w:t>
      </w:r>
    </w:p>
    <w:p w:rsidR="00715618" w:rsidRPr="00571DD5" w:rsidRDefault="00715618" w:rsidP="00715618">
      <w:pPr>
        <w:numPr>
          <w:ilvl w:val="0"/>
          <w:numId w:val="18"/>
        </w:numPr>
        <w:spacing w:before="0"/>
        <w:jc w:val="both"/>
        <w:rPr>
          <w:rFonts w:eastAsia="SimSun"/>
          <w:b/>
        </w:rPr>
      </w:pPr>
      <w:r w:rsidRPr="00571DD5">
        <w:rPr>
          <w:rFonts w:eastAsia="SimSun"/>
          <w:b/>
        </w:rPr>
        <w:t xml:space="preserve">alocare financiară suplimentară, pe lângă finanțarea din PNRR, conform art. 24 alin (1) din </w:t>
      </w:r>
      <w:proofErr w:type="spellStart"/>
      <w:r w:rsidRPr="00571DD5">
        <w:rPr>
          <w:rFonts w:eastAsia="SimSun"/>
          <w:b/>
        </w:rPr>
        <w:t>Ordonanţă</w:t>
      </w:r>
      <w:proofErr w:type="spellEnd"/>
      <w:r w:rsidRPr="00571DD5">
        <w:rPr>
          <w:rFonts w:eastAsia="SimSun"/>
          <w:b/>
        </w:rPr>
        <w:t xml:space="preserve"> de </w:t>
      </w:r>
      <w:proofErr w:type="spellStart"/>
      <w:r w:rsidRPr="00571DD5">
        <w:rPr>
          <w:rFonts w:eastAsia="SimSun"/>
          <w:b/>
        </w:rPr>
        <w:t>urgenţă</w:t>
      </w:r>
      <w:proofErr w:type="spellEnd"/>
      <w:r w:rsidRPr="00571DD5">
        <w:rPr>
          <w:rFonts w:eastAsia="SimSun"/>
          <w:b/>
        </w:rPr>
        <w:t xml:space="preserve"> nr. 124/2021: 375.000 Euro</w:t>
      </w:r>
    </w:p>
    <w:p w:rsidR="005B1CD3" w:rsidRDefault="00715618" w:rsidP="00715618">
      <w:r w:rsidRPr="00571DD5">
        <w:rPr>
          <w:rFonts w:eastAsia="SimSun"/>
          <w:b/>
        </w:rPr>
        <w:t>alocare financiară totală</w:t>
      </w:r>
      <w:r w:rsidRPr="00571DD5">
        <w:rPr>
          <w:rFonts w:eastAsia="SimSun"/>
          <w:b/>
          <w:lang w:val="en-US"/>
        </w:rPr>
        <w:t xml:space="preserve">: </w:t>
      </w:r>
      <w:r w:rsidRPr="00571DD5">
        <w:rPr>
          <w:rFonts w:eastAsia="SimSun"/>
          <w:b/>
          <w:u w:val="single"/>
          <w:lang w:val="en-US"/>
        </w:rPr>
        <w:t>1.625.000 Euro</w:t>
      </w:r>
      <w:r w:rsidR="0094333E">
        <w:tab/>
      </w:r>
    </w:p>
    <w:p w:rsidR="005A5750" w:rsidRDefault="005A5750" w:rsidP="00715618"/>
    <w:p w:rsidR="005A5750" w:rsidRDefault="005A5750" w:rsidP="00715618"/>
    <w:p w:rsidR="005A5750" w:rsidRDefault="005A5750" w:rsidP="00715618"/>
    <w:tbl>
      <w:tblPr>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1418"/>
        <w:gridCol w:w="1386"/>
        <w:gridCol w:w="1307"/>
        <w:gridCol w:w="1202"/>
        <w:gridCol w:w="1418"/>
      </w:tblGrid>
      <w:tr w:rsidR="005A5750" w:rsidRPr="005B1CD3" w:rsidTr="005A5750">
        <w:trPr>
          <w:trHeight w:val="1375"/>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lastRenderedPageBreak/>
              <w:t>Apel de proiecte</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iCs/>
              </w:rPr>
            </w:pPr>
            <w:r w:rsidRPr="005B1CD3">
              <w:rPr>
                <w:b/>
                <w:iCs/>
              </w:rPr>
              <w:t>Valoare eligibilă PNRR</w:t>
            </w:r>
            <w:r w:rsidRPr="005B1CD3">
              <w:rPr>
                <w:b/>
                <w:iCs/>
              </w:rPr>
              <w:br/>
              <w:t>(euro)</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Valoare suplimentară cf. OUG 124/2021* (euro)</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 xml:space="preserve">Valoare cumulată </w:t>
            </w:r>
            <w:proofErr w:type="spellStart"/>
            <w:r w:rsidRPr="005B1CD3">
              <w:rPr>
                <w:bCs/>
                <w:iCs/>
              </w:rPr>
              <w:t>PNRR+sume</w:t>
            </w:r>
            <w:proofErr w:type="spellEnd"/>
            <w:r w:rsidRPr="005B1CD3">
              <w:rPr>
                <w:bCs/>
                <w:iCs/>
              </w:rPr>
              <w:t xml:space="preserve"> OUG 124/2021</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
                <w:iCs/>
              </w:rPr>
              <w:t>Alocare scheme ajutor de stat (5% din col. 3)</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
                <w:iCs/>
              </w:rPr>
              <w:t>Valoare totală eligibilă (euro)</w:t>
            </w:r>
          </w:p>
        </w:tc>
      </w:tr>
      <w:tr w:rsidR="005A5750" w:rsidRPr="005B1CD3" w:rsidTr="005A5750">
        <w:trPr>
          <w:trHeight w:val="686"/>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DE089B">
            <w:pPr>
              <w:jc w:val="center"/>
              <w:rPr>
                <w:bCs/>
                <w:iCs/>
              </w:rPr>
            </w:pPr>
            <w:r w:rsidRPr="005B1CD3">
              <w:rPr>
                <w:bCs/>
                <w:i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DE089B">
            <w:pPr>
              <w:jc w:val="center"/>
              <w:rPr>
                <w:b/>
                <w:iCs/>
              </w:rPr>
            </w:pPr>
            <w:r w:rsidRPr="005B1CD3">
              <w:rPr>
                <w:b/>
                <w:iCs/>
              </w:rPr>
              <w:t>1</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DE089B">
            <w:pPr>
              <w:jc w:val="center"/>
              <w:rPr>
                <w:bCs/>
                <w:iCs/>
              </w:rPr>
            </w:pPr>
            <w:r w:rsidRPr="005B1CD3">
              <w:rPr>
                <w:bCs/>
                <w:iCs/>
              </w:rPr>
              <w:t>2</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DE089B" w:rsidRDefault="005A5750" w:rsidP="00DE089B">
            <w:pPr>
              <w:jc w:val="center"/>
              <w:rPr>
                <w:bCs/>
                <w:iCs/>
              </w:rPr>
            </w:pPr>
            <w:r w:rsidRPr="005B1CD3">
              <w:rPr>
                <w:bCs/>
                <w:iCs/>
              </w:rPr>
              <w:t>3</w:t>
            </w:r>
          </w:p>
          <w:p w:rsidR="005A5750" w:rsidRPr="005B1CD3" w:rsidRDefault="00DE089B" w:rsidP="00DE089B">
            <w:pPr>
              <w:jc w:val="center"/>
              <w:rPr>
                <w:bCs/>
                <w:iCs/>
              </w:rPr>
            </w:pPr>
            <w:r>
              <w:rPr>
                <w:bCs/>
                <w:iCs/>
              </w:rPr>
              <w:t>( 1 + 2 )</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DE089B">
            <w:pPr>
              <w:jc w:val="center"/>
              <w:rPr>
                <w:b/>
                <w:iCs/>
              </w:rPr>
            </w:pPr>
            <w:r w:rsidRPr="005B1CD3">
              <w:rPr>
                <w:b/>
                <w:iCs/>
              </w:rPr>
              <w:t>4</w:t>
            </w:r>
          </w:p>
        </w:tc>
        <w:tc>
          <w:tcPr>
            <w:tcW w:w="1418" w:type="dxa"/>
            <w:tcBorders>
              <w:top w:val="single" w:sz="4" w:space="0" w:color="auto"/>
              <w:left w:val="single" w:sz="4" w:space="0" w:color="auto"/>
              <w:bottom w:val="single" w:sz="4" w:space="0" w:color="auto"/>
              <w:right w:val="single" w:sz="4" w:space="0" w:color="auto"/>
            </w:tcBorders>
          </w:tcPr>
          <w:p w:rsidR="00DE089B" w:rsidRDefault="005A5750" w:rsidP="00DE089B">
            <w:pPr>
              <w:jc w:val="center"/>
              <w:rPr>
                <w:b/>
                <w:iCs/>
              </w:rPr>
            </w:pPr>
            <w:r w:rsidRPr="005B1CD3">
              <w:rPr>
                <w:b/>
                <w:iCs/>
              </w:rPr>
              <w:t>5</w:t>
            </w:r>
          </w:p>
          <w:p w:rsidR="005A5750" w:rsidRPr="005B1CD3" w:rsidRDefault="00DE089B" w:rsidP="00DE089B">
            <w:pPr>
              <w:jc w:val="center"/>
              <w:rPr>
                <w:b/>
                <w:iCs/>
              </w:rPr>
            </w:pPr>
            <w:r>
              <w:rPr>
                <w:b/>
                <w:iCs/>
              </w:rPr>
              <w:t>( 3 – 4 )</w:t>
            </w:r>
          </w:p>
        </w:tc>
      </w:tr>
      <w:tr w:rsidR="005A5750" w:rsidRPr="005B1CD3" w:rsidTr="005A5750">
        <w:trPr>
          <w:trHeight w:val="1548"/>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Renovare energetică moderată a clădirilor rezidențiale multifamiliale</w:t>
            </w:r>
          </w:p>
          <w:p w:rsidR="005A5750" w:rsidRPr="005B1CD3" w:rsidRDefault="005A5750" w:rsidP="005B1CD3">
            <w:pPr>
              <w:rPr>
                <w:bCs/>
                <w:iCs/>
              </w:rPr>
            </w:pPr>
            <w:r w:rsidRPr="005B1CD3">
              <w:rPr>
                <w:bCs/>
                <w:iCs/>
              </w:rPr>
              <w:t>PNRR/2022/C5/1/A.3.1/1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iCs/>
              </w:rPr>
            </w:pPr>
            <w:r w:rsidRPr="005B1CD3">
              <w:rPr>
                <w:b/>
                <w:iCs/>
              </w:rPr>
              <w:t>603.000.000</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180.900.000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bookmarkStart w:id="1" w:name="_GoBack"/>
            <w:bookmarkEnd w:id="1"/>
            <w:r w:rsidRPr="005B1CD3">
              <w:rPr>
                <w:bCs/>
                <w:iCs/>
              </w:rPr>
              <w:t>783.900.000</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39.195.000</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
                <w:iCs/>
              </w:rPr>
              <w:t>744.705.000</w:t>
            </w:r>
          </w:p>
        </w:tc>
      </w:tr>
      <w:tr w:rsidR="005A5750" w:rsidRPr="005B1CD3" w:rsidTr="005A5750">
        <w:trPr>
          <w:trHeight w:val="1057"/>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Stații de încărcare pentru vehicule electrice</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iCs/>
              </w:rPr>
            </w:pPr>
            <w:r w:rsidRPr="005B1CD3">
              <w:rPr>
                <w:b/>
                <w:iCs/>
              </w:rPr>
              <w:t>11.250.000</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3.375.000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14.625.000</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
                <w:iCs/>
              </w:rPr>
              <w:t>14.625.000</w:t>
            </w:r>
          </w:p>
        </w:tc>
      </w:tr>
      <w:tr w:rsidR="005A5750" w:rsidRPr="005B1CD3" w:rsidTr="005A5750">
        <w:trPr>
          <w:trHeight w:val="1375"/>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Renovare energetică aprofundată a clădirilor rezidențiale multifamiliale PNRR/2022/C5/1/A.3.2/1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iCs/>
              </w:rPr>
            </w:pPr>
            <w:r w:rsidRPr="005B1CD3">
              <w:rPr>
                <w:b/>
                <w:iCs/>
              </w:rPr>
              <w:t>67.000.000</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20.100.000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87.100.000</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4.355.000</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
                <w:iCs/>
              </w:rPr>
              <w:t>82.745.000</w:t>
            </w:r>
          </w:p>
        </w:tc>
      </w:tr>
      <w:tr w:rsidR="005A5750" w:rsidRPr="005B1CD3" w:rsidTr="005A5750">
        <w:trPr>
          <w:trHeight w:val="1031"/>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Stații de încărcare pentru vehicule electrice</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iCs/>
              </w:rPr>
            </w:pPr>
            <w:r w:rsidRPr="005B1CD3">
              <w:rPr>
                <w:b/>
              </w:rPr>
              <w:t>1.250.000</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rPr>
              <w:t>375.000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lang w:val="en-US"/>
              </w:rPr>
              <w:t>1.625.000</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
                <w:lang w:val="en-US"/>
              </w:rPr>
              <w:t>1.625.000</w:t>
            </w:r>
          </w:p>
        </w:tc>
      </w:tr>
      <w:tr w:rsidR="005A5750" w:rsidRPr="005B1CD3" w:rsidTr="005A5750">
        <w:trPr>
          <w:trHeight w:val="1031"/>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SUBTOTAL investiții renovare (</w:t>
            </w:r>
            <w:proofErr w:type="spellStart"/>
            <w:r w:rsidRPr="005B1CD3">
              <w:rPr>
                <w:bCs/>
                <w:iCs/>
              </w:rPr>
              <w:t>moderată+aprofundată</w:t>
            </w:r>
            <w:proofErr w:type="spellEnd"/>
            <w:r w:rsidRPr="005B1CD3">
              <w:rPr>
                <w:bCs/>
                <w:iCs/>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rPr>
            </w:pPr>
            <w:r w:rsidRPr="005B1CD3">
              <w:rPr>
                <w:b/>
                <w:iCs/>
              </w:rPr>
              <w:t>670.000.000</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rPr>
            </w:pPr>
            <w:r w:rsidRPr="005B1CD3">
              <w:rPr>
                <w:bCs/>
                <w:iCs/>
              </w:rPr>
              <w:t>201.000.000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lang w:val="en-US"/>
              </w:rPr>
            </w:pPr>
            <w:r w:rsidRPr="005B1CD3">
              <w:rPr>
                <w:bCs/>
                <w:iCs/>
              </w:rPr>
              <w:t>871.000.000</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43.550.000</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lang w:val="en-US"/>
              </w:rPr>
            </w:pPr>
            <w:r w:rsidRPr="005B1CD3">
              <w:rPr>
                <w:b/>
                <w:iCs/>
              </w:rPr>
              <w:t>827.450.000</w:t>
            </w:r>
          </w:p>
        </w:tc>
      </w:tr>
      <w:tr w:rsidR="005A5750" w:rsidRPr="005B1CD3" w:rsidTr="005A5750">
        <w:trPr>
          <w:trHeight w:val="686"/>
        </w:trPr>
        <w:tc>
          <w:tcPr>
            <w:tcW w:w="2541"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SUBTOTAL stații de încărcare</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
                <w:iCs/>
              </w:rPr>
            </w:pPr>
            <w:r w:rsidRPr="005B1CD3">
              <w:rPr>
                <w:b/>
                <w:iCs/>
              </w:rPr>
              <w:t>12.500.000</w:t>
            </w:r>
          </w:p>
        </w:tc>
        <w:tc>
          <w:tcPr>
            <w:tcW w:w="1386"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3.750.000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5A5750" w:rsidRPr="005B1CD3" w:rsidRDefault="005A5750" w:rsidP="005B1CD3">
            <w:pPr>
              <w:rPr>
                <w:bCs/>
                <w:iCs/>
              </w:rPr>
            </w:pPr>
            <w:r w:rsidRPr="005B1CD3">
              <w:rPr>
                <w:bCs/>
                <w:iCs/>
              </w:rPr>
              <w:t>16.250.000</w:t>
            </w:r>
          </w:p>
        </w:tc>
        <w:tc>
          <w:tcPr>
            <w:tcW w:w="1202"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Cs/>
                <w:iCs/>
              </w:rPr>
            </w:pPr>
            <w:r w:rsidRPr="005B1CD3">
              <w:rPr>
                <w:bCs/>
                <w:iCs/>
              </w:rPr>
              <w:t>-</w:t>
            </w:r>
          </w:p>
        </w:tc>
        <w:tc>
          <w:tcPr>
            <w:tcW w:w="1418" w:type="dxa"/>
            <w:tcBorders>
              <w:top w:val="single" w:sz="4" w:space="0" w:color="auto"/>
              <w:left w:val="single" w:sz="4" w:space="0" w:color="auto"/>
              <w:bottom w:val="single" w:sz="4" w:space="0" w:color="auto"/>
              <w:right w:val="single" w:sz="4" w:space="0" w:color="auto"/>
            </w:tcBorders>
          </w:tcPr>
          <w:p w:rsidR="005A5750" w:rsidRPr="005B1CD3" w:rsidRDefault="005A5750" w:rsidP="005B1CD3">
            <w:pPr>
              <w:rPr>
                <w:b/>
                <w:iCs/>
              </w:rPr>
            </w:pPr>
            <w:r w:rsidRPr="005B1CD3">
              <w:rPr>
                <w:bCs/>
                <w:iCs/>
              </w:rPr>
              <w:t>16.250.000</w:t>
            </w:r>
          </w:p>
        </w:tc>
      </w:tr>
      <w:tr w:rsidR="005A5750" w:rsidRPr="005B1CD3" w:rsidTr="005A5750">
        <w:trPr>
          <w:trHeight w:val="686"/>
        </w:trPr>
        <w:tc>
          <w:tcPr>
            <w:tcW w:w="2541" w:type="dxa"/>
            <w:tcBorders>
              <w:top w:val="single" w:sz="4" w:space="0" w:color="auto"/>
              <w:left w:val="single" w:sz="4" w:space="0" w:color="auto"/>
              <w:bottom w:val="single" w:sz="4" w:space="0" w:color="auto"/>
              <w:right w:val="single" w:sz="4" w:space="0" w:color="auto"/>
            </w:tcBorders>
            <w:shd w:val="clear" w:color="auto" w:fill="B4C6E7"/>
          </w:tcPr>
          <w:p w:rsidR="005A5750" w:rsidRPr="005B1CD3" w:rsidRDefault="005A5750" w:rsidP="005B1CD3">
            <w:pPr>
              <w:rPr>
                <w:bCs/>
                <w:iCs/>
              </w:rPr>
            </w:pPr>
            <w:r w:rsidRPr="005B1CD3">
              <w:rPr>
                <w:bCs/>
                <w:iCs/>
              </w:rPr>
              <w:t xml:space="preserve">TOTAL </w:t>
            </w:r>
          </w:p>
        </w:tc>
        <w:tc>
          <w:tcPr>
            <w:tcW w:w="1418" w:type="dxa"/>
            <w:tcBorders>
              <w:top w:val="single" w:sz="4" w:space="0" w:color="auto"/>
              <w:left w:val="single" w:sz="4" w:space="0" w:color="auto"/>
              <w:bottom w:val="single" w:sz="4" w:space="0" w:color="auto"/>
              <w:right w:val="single" w:sz="4" w:space="0" w:color="auto"/>
            </w:tcBorders>
            <w:shd w:val="clear" w:color="auto" w:fill="B4C6E7"/>
          </w:tcPr>
          <w:p w:rsidR="005A5750" w:rsidRPr="005B1CD3" w:rsidRDefault="005A5750" w:rsidP="005B1CD3">
            <w:pPr>
              <w:rPr>
                <w:b/>
                <w:iCs/>
              </w:rPr>
            </w:pPr>
            <w:r w:rsidRPr="005B1CD3">
              <w:rPr>
                <w:b/>
                <w:iCs/>
              </w:rPr>
              <w:t>682.500.000</w:t>
            </w:r>
          </w:p>
        </w:tc>
        <w:tc>
          <w:tcPr>
            <w:tcW w:w="1386" w:type="dxa"/>
            <w:tcBorders>
              <w:top w:val="single" w:sz="4" w:space="0" w:color="auto"/>
              <w:left w:val="single" w:sz="4" w:space="0" w:color="auto"/>
              <w:bottom w:val="single" w:sz="4" w:space="0" w:color="auto"/>
              <w:right w:val="single" w:sz="4" w:space="0" w:color="auto"/>
            </w:tcBorders>
            <w:shd w:val="clear" w:color="auto" w:fill="B4C6E7"/>
          </w:tcPr>
          <w:p w:rsidR="005A5750" w:rsidRPr="005B1CD3" w:rsidRDefault="005A5750" w:rsidP="005B1CD3">
            <w:pPr>
              <w:rPr>
                <w:bCs/>
                <w:iCs/>
              </w:rPr>
            </w:pPr>
            <w:r w:rsidRPr="005B1CD3">
              <w:rPr>
                <w:bCs/>
                <w:iCs/>
              </w:rPr>
              <w:t>204.750.000</w:t>
            </w:r>
          </w:p>
        </w:tc>
        <w:tc>
          <w:tcPr>
            <w:tcW w:w="1307" w:type="dxa"/>
            <w:tcBorders>
              <w:top w:val="single" w:sz="4" w:space="0" w:color="auto"/>
              <w:left w:val="single" w:sz="4" w:space="0" w:color="auto"/>
              <w:bottom w:val="single" w:sz="4" w:space="0" w:color="auto"/>
              <w:right w:val="single" w:sz="4" w:space="0" w:color="auto"/>
            </w:tcBorders>
            <w:shd w:val="clear" w:color="auto" w:fill="B4C6E7"/>
          </w:tcPr>
          <w:p w:rsidR="005A5750" w:rsidRPr="005B1CD3" w:rsidRDefault="005A5750" w:rsidP="005B1CD3">
            <w:pPr>
              <w:rPr>
                <w:bCs/>
                <w:iCs/>
              </w:rPr>
            </w:pPr>
            <w:r w:rsidRPr="005B1CD3">
              <w:rPr>
                <w:bCs/>
                <w:iCs/>
              </w:rPr>
              <w:t>887.250.000</w:t>
            </w:r>
          </w:p>
        </w:tc>
        <w:tc>
          <w:tcPr>
            <w:tcW w:w="1202" w:type="dxa"/>
            <w:tcBorders>
              <w:top w:val="single" w:sz="4" w:space="0" w:color="auto"/>
              <w:left w:val="single" w:sz="4" w:space="0" w:color="auto"/>
              <w:bottom w:val="single" w:sz="4" w:space="0" w:color="auto"/>
              <w:right w:val="single" w:sz="4" w:space="0" w:color="auto"/>
            </w:tcBorders>
            <w:shd w:val="clear" w:color="auto" w:fill="B4C6E7"/>
          </w:tcPr>
          <w:p w:rsidR="005A5750" w:rsidRPr="005B1CD3" w:rsidRDefault="005A5750" w:rsidP="005B1CD3">
            <w:pPr>
              <w:rPr>
                <w:b/>
                <w:iCs/>
              </w:rPr>
            </w:pPr>
            <w:r w:rsidRPr="005B1CD3">
              <w:rPr>
                <w:bCs/>
                <w:iCs/>
              </w:rPr>
              <w:t>43.550.000</w:t>
            </w:r>
          </w:p>
        </w:tc>
        <w:tc>
          <w:tcPr>
            <w:tcW w:w="1418" w:type="dxa"/>
            <w:tcBorders>
              <w:top w:val="single" w:sz="4" w:space="0" w:color="auto"/>
              <w:left w:val="single" w:sz="4" w:space="0" w:color="auto"/>
              <w:bottom w:val="single" w:sz="4" w:space="0" w:color="auto"/>
              <w:right w:val="single" w:sz="4" w:space="0" w:color="auto"/>
            </w:tcBorders>
            <w:shd w:val="clear" w:color="auto" w:fill="B4C6E7"/>
          </w:tcPr>
          <w:p w:rsidR="005A5750" w:rsidRPr="005B1CD3" w:rsidRDefault="005A5750" w:rsidP="005B1CD3">
            <w:pPr>
              <w:rPr>
                <w:b/>
                <w:iCs/>
              </w:rPr>
            </w:pPr>
            <w:r w:rsidRPr="005B1CD3">
              <w:rPr>
                <w:b/>
                <w:iCs/>
              </w:rPr>
              <w:t>843.700.000</w:t>
            </w:r>
          </w:p>
        </w:tc>
      </w:tr>
    </w:tbl>
    <w:p w:rsidR="0094333E" w:rsidRDefault="0094333E" w:rsidP="00715618">
      <w:r>
        <w:tab/>
      </w:r>
    </w:p>
    <w:sectPr w:rsidR="0094333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8AE" w:rsidRDefault="00F818AE" w:rsidP="0094333E">
      <w:pPr>
        <w:spacing w:before="0" w:after="0"/>
      </w:pPr>
      <w:r>
        <w:separator/>
      </w:r>
    </w:p>
  </w:endnote>
  <w:endnote w:type="continuationSeparator" w:id="0">
    <w:p w:rsidR="00F818AE" w:rsidRDefault="00F818AE" w:rsidP="009433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8AE" w:rsidRDefault="00F818AE" w:rsidP="0094333E">
      <w:pPr>
        <w:spacing w:before="0" w:after="0"/>
      </w:pPr>
      <w:r>
        <w:separator/>
      </w:r>
    </w:p>
  </w:footnote>
  <w:footnote w:type="continuationSeparator" w:id="0">
    <w:p w:rsidR="00F818AE" w:rsidRDefault="00F818AE" w:rsidP="0094333E">
      <w:pPr>
        <w:spacing w:before="0" w:after="0"/>
      </w:pPr>
      <w:r>
        <w:continuationSeparator/>
      </w:r>
    </w:p>
  </w:footnote>
  <w:footnote w:id="1">
    <w:p w:rsidR="006E1CE8" w:rsidRDefault="006E1CE8" w:rsidP="006E1CE8">
      <w:pPr>
        <w:pStyle w:val="FootnoteText"/>
      </w:pPr>
      <w:r>
        <w:rPr>
          <w:rStyle w:val="FootnoteReference"/>
        </w:rPr>
        <w:footnoteRef/>
      </w:r>
      <w:r>
        <w:t xml:space="preserve"> </w:t>
      </w:r>
      <w:hyperlink r:id="rId1" w:history="1">
        <w:r w:rsidRPr="00285AE0">
          <w:rPr>
            <w:rStyle w:val="Hyperlink"/>
          </w:rPr>
          <w:t>https://eur-lex.europa.eu/legal-content/RO/TXT/PDF/?uri=CELEX:52021XC0218(01)&amp;from=EN</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9D"/>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C70B3E"/>
    <w:multiLevelType w:val="hybridMultilevel"/>
    <w:tmpl w:val="F0C8AA0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4E3904"/>
    <w:multiLevelType w:val="hybridMultilevel"/>
    <w:tmpl w:val="BDBC7DCC"/>
    <w:lvl w:ilvl="0" w:tplc="071AB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5CE"/>
    <w:multiLevelType w:val="hybridMultilevel"/>
    <w:tmpl w:val="05283F88"/>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41530F"/>
    <w:multiLevelType w:val="hybridMultilevel"/>
    <w:tmpl w:val="318C1B3A"/>
    <w:lvl w:ilvl="0" w:tplc="04090001">
      <w:start w:val="44"/>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3780609"/>
    <w:multiLevelType w:val="hybridMultilevel"/>
    <w:tmpl w:val="B3AEC5C6"/>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1893B59"/>
    <w:multiLevelType w:val="hybridMultilevel"/>
    <w:tmpl w:val="F8CEB432"/>
    <w:lvl w:ilvl="0" w:tplc="2BC2303A">
      <w:numFmt w:val="bullet"/>
      <w:lvlText w:val="-"/>
      <w:lvlJc w:val="left"/>
      <w:pPr>
        <w:ind w:left="720" w:hanging="360"/>
      </w:pPr>
      <w:rPr>
        <w:rFonts w:ascii="Times New Roman" w:eastAsia="Times New Roman" w:hAnsi="Times New Roman" w:cs="Times New Roman" w:hint="default"/>
        <w:w w:val="99"/>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C2329"/>
    <w:multiLevelType w:val="hybridMultilevel"/>
    <w:tmpl w:val="22E054EC"/>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65F52AE"/>
    <w:multiLevelType w:val="hybridMultilevel"/>
    <w:tmpl w:val="B7664772"/>
    <w:lvl w:ilvl="0" w:tplc="313AC400">
      <w:start w:val="3"/>
      <w:numFmt w:val="bullet"/>
      <w:lvlText w:val="-"/>
      <w:lvlJc w:val="left"/>
      <w:pPr>
        <w:ind w:left="720" w:hanging="360"/>
      </w:pPr>
      <w:rPr>
        <w:rFonts w:ascii="Trebuchet MS" w:eastAsia="SimSun" w:hAnsi="Trebuchet MS"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B9419CA"/>
    <w:multiLevelType w:val="hybridMultilevel"/>
    <w:tmpl w:val="509E3C64"/>
    <w:lvl w:ilvl="0" w:tplc="04090001">
      <w:start w:val="44"/>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15660D5"/>
    <w:multiLevelType w:val="hybridMultilevel"/>
    <w:tmpl w:val="5E1014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9E43109"/>
    <w:multiLevelType w:val="hybridMultilevel"/>
    <w:tmpl w:val="D4600698"/>
    <w:lvl w:ilvl="0" w:tplc="E27ADE3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18754B"/>
    <w:multiLevelType w:val="hybridMultilevel"/>
    <w:tmpl w:val="FF945A48"/>
    <w:lvl w:ilvl="0" w:tplc="AFDABDE4">
      <w:numFmt w:val="bullet"/>
      <w:lvlText w:val="-"/>
      <w:lvlJc w:val="left"/>
      <w:pPr>
        <w:ind w:left="720" w:hanging="360"/>
      </w:pPr>
      <w:rPr>
        <w:rFonts w:ascii="Times New Roman" w:eastAsia="Times New Roman" w:hAnsi="Times New Roman"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6DD19B8"/>
    <w:multiLevelType w:val="hybridMultilevel"/>
    <w:tmpl w:val="887ED72E"/>
    <w:lvl w:ilvl="0" w:tplc="EB00246C">
      <w:start w:val="44"/>
      <w:numFmt w:val="bullet"/>
      <w:lvlText w:val="-"/>
      <w:lvlJc w:val="left"/>
      <w:pPr>
        <w:ind w:left="720" w:hanging="360"/>
      </w:pPr>
      <w:rPr>
        <w:rFonts w:ascii="Trebuchet MS" w:eastAsia="Times New Roman" w:hAnsi="Trebuchet MS"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DF76CD"/>
    <w:multiLevelType w:val="hybridMultilevel"/>
    <w:tmpl w:val="92043E66"/>
    <w:lvl w:ilvl="0" w:tplc="D7F0C6FE">
      <w:start w:val="1"/>
      <w:numFmt w:val="upperRoman"/>
      <w:lvlText w:val="%1."/>
      <w:lvlJc w:val="left"/>
      <w:pPr>
        <w:ind w:left="1080" w:hanging="720"/>
      </w:pPr>
      <w:rPr>
        <w:rFonts w:eastAsia="Times New Roman" w:hint="default"/>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E6C2117"/>
    <w:multiLevelType w:val="hybridMultilevel"/>
    <w:tmpl w:val="43FCA45A"/>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749A005B"/>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1"/>
  </w:num>
  <w:num w:numId="4">
    <w:abstractNumId w:val="8"/>
  </w:num>
  <w:num w:numId="5">
    <w:abstractNumId w:val="10"/>
  </w:num>
  <w:num w:numId="6">
    <w:abstractNumId w:val="0"/>
  </w:num>
  <w:num w:numId="7">
    <w:abstractNumId w:val="5"/>
  </w:num>
  <w:num w:numId="8">
    <w:abstractNumId w:val="12"/>
  </w:num>
  <w:num w:numId="9">
    <w:abstractNumId w:val="7"/>
  </w:num>
  <w:num w:numId="10">
    <w:abstractNumId w:val="15"/>
  </w:num>
  <w:num w:numId="11">
    <w:abstractNumId w:val="14"/>
  </w:num>
  <w:num w:numId="12">
    <w:abstractNumId w:val="17"/>
  </w:num>
  <w:num w:numId="13">
    <w:abstractNumId w:val="3"/>
  </w:num>
  <w:num w:numId="14">
    <w:abstractNumId w:val="1"/>
  </w:num>
  <w:num w:numId="15">
    <w:abstractNumId w:val="13"/>
  </w:num>
  <w:num w:numId="16">
    <w:abstractNumId w:val="4"/>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33E"/>
    <w:rsid w:val="00017B51"/>
    <w:rsid w:val="00032D5D"/>
    <w:rsid w:val="00044EF1"/>
    <w:rsid w:val="00052AF4"/>
    <w:rsid w:val="00084D26"/>
    <w:rsid w:val="000A3A72"/>
    <w:rsid w:val="000A6BC0"/>
    <w:rsid w:val="000A7F9C"/>
    <w:rsid w:val="000D366E"/>
    <w:rsid w:val="00126BBB"/>
    <w:rsid w:val="001325C1"/>
    <w:rsid w:val="0013633A"/>
    <w:rsid w:val="00143470"/>
    <w:rsid w:val="00152775"/>
    <w:rsid w:val="00177807"/>
    <w:rsid w:val="00182263"/>
    <w:rsid w:val="00185063"/>
    <w:rsid w:val="00187814"/>
    <w:rsid w:val="001B571B"/>
    <w:rsid w:val="002173EC"/>
    <w:rsid w:val="00235798"/>
    <w:rsid w:val="0023754B"/>
    <w:rsid w:val="00257426"/>
    <w:rsid w:val="00263B66"/>
    <w:rsid w:val="00270C28"/>
    <w:rsid w:val="0027513D"/>
    <w:rsid w:val="002A1051"/>
    <w:rsid w:val="002A57A3"/>
    <w:rsid w:val="002D5D3E"/>
    <w:rsid w:val="00303CA2"/>
    <w:rsid w:val="00321E24"/>
    <w:rsid w:val="00332AD2"/>
    <w:rsid w:val="0034674D"/>
    <w:rsid w:val="00361A77"/>
    <w:rsid w:val="0036638D"/>
    <w:rsid w:val="00367F87"/>
    <w:rsid w:val="00371D64"/>
    <w:rsid w:val="003847E4"/>
    <w:rsid w:val="003A137F"/>
    <w:rsid w:val="003A296F"/>
    <w:rsid w:val="003B626C"/>
    <w:rsid w:val="003D1371"/>
    <w:rsid w:val="003E3322"/>
    <w:rsid w:val="003E5726"/>
    <w:rsid w:val="00400E53"/>
    <w:rsid w:val="00411E22"/>
    <w:rsid w:val="004304A7"/>
    <w:rsid w:val="00466818"/>
    <w:rsid w:val="00466BD8"/>
    <w:rsid w:val="00492B09"/>
    <w:rsid w:val="004A36AD"/>
    <w:rsid w:val="004B0E9A"/>
    <w:rsid w:val="004C103A"/>
    <w:rsid w:val="00547433"/>
    <w:rsid w:val="0055323A"/>
    <w:rsid w:val="00554F7B"/>
    <w:rsid w:val="00567588"/>
    <w:rsid w:val="00591422"/>
    <w:rsid w:val="005A4392"/>
    <w:rsid w:val="005A5750"/>
    <w:rsid w:val="005B0C86"/>
    <w:rsid w:val="005B1CD3"/>
    <w:rsid w:val="00614706"/>
    <w:rsid w:val="00645E44"/>
    <w:rsid w:val="006709FA"/>
    <w:rsid w:val="00684F7D"/>
    <w:rsid w:val="006D4E53"/>
    <w:rsid w:val="006E1CE8"/>
    <w:rsid w:val="007024DC"/>
    <w:rsid w:val="00715618"/>
    <w:rsid w:val="0073063B"/>
    <w:rsid w:val="007447BE"/>
    <w:rsid w:val="00781C06"/>
    <w:rsid w:val="00791BDC"/>
    <w:rsid w:val="007973A5"/>
    <w:rsid w:val="007A36BB"/>
    <w:rsid w:val="007C4B24"/>
    <w:rsid w:val="007F0F9A"/>
    <w:rsid w:val="00856DB7"/>
    <w:rsid w:val="008648DA"/>
    <w:rsid w:val="0087263D"/>
    <w:rsid w:val="0089384E"/>
    <w:rsid w:val="008B702D"/>
    <w:rsid w:val="008C0912"/>
    <w:rsid w:val="008D1C7D"/>
    <w:rsid w:val="008E1AAF"/>
    <w:rsid w:val="008F337E"/>
    <w:rsid w:val="00902A0E"/>
    <w:rsid w:val="0094333E"/>
    <w:rsid w:val="00951120"/>
    <w:rsid w:val="00951465"/>
    <w:rsid w:val="009572A5"/>
    <w:rsid w:val="00960704"/>
    <w:rsid w:val="009627C9"/>
    <w:rsid w:val="00976F75"/>
    <w:rsid w:val="00977877"/>
    <w:rsid w:val="009921B0"/>
    <w:rsid w:val="009D1A89"/>
    <w:rsid w:val="00A020BA"/>
    <w:rsid w:val="00A05035"/>
    <w:rsid w:val="00A16BF9"/>
    <w:rsid w:val="00A22C68"/>
    <w:rsid w:val="00A3487D"/>
    <w:rsid w:val="00A82E1F"/>
    <w:rsid w:val="00AA0985"/>
    <w:rsid w:val="00AA7A4E"/>
    <w:rsid w:val="00AC04B0"/>
    <w:rsid w:val="00AC0F03"/>
    <w:rsid w:val="00AC349B"/>
    <w:rsid w:val="00AC7CE7"/>
    <w:rsid w:val="00AD7C13"/>
    <w:rsid w:val="00AE31D6"/>
    <w:rsid w:val="00AE5E86"/>
    <w:rsid w:val="00B12424"/>
    <w:rsid w:val="00B2523D"/>
    <w:rsid w:val="00B81533"/>
    <w:rsid w:val="00B90D68"/>
    <w:rsid w:val="00BA14F1"/>
    <w:rsid w:val="00BB3D35"/>
    <w:rsid w:val="00BC04A2"/>
    <w:rsid w:val="00BC7F66"/>
    <w:rsid w:val="00BE12B5"/>
    <w:rsid w:val="00BF3BDE"/>
    <w:rsid w:val="00C002BB"/>
    <w:rsid w:val="00C14953"/>
    <w:rsid w:val="00C21089"/>
    <w:rsid w:val="00C328B7"/>
    <w:rsid w:val="00C36246"/>
    <w:rsid w:val="00C36790"/>
    <w:rsid w:val="00C46220"/>
    <w:rsid w:val="00C73D5D"/>
    <w:rsid w:val="00C85978"/>
    <w:rsid w:val="00CA1FAF"/>
    <w:rsid w:val="00CC1384"/>
    <w:rsid w:val="00CC2AFE"/>
    <w:rsid w:val="00CD2DA6"/>
    <w:rsid w:val="00CD5478"/>
    <w:rsid w:val="00CF462A"/>
    <w:rsid w:val="00D33140"/>
    <w:rsid w:val="00D40C86"/>
    <w:rsid w:val="00D53234"/>
    <w:rsid w:val="00D931EB"/>
    <w:rsid w:val="00D94BBC"/>
    <w:rsid w:val="00DC25E2"/>
    <w:rsid w:val="00DD49BE"/>
    <w:rsid w:val="00DE089B"/>
    <w:rsid w:val="00DE3B93"/>
    <w:rsid w:val="00E357AA"/>
    <w:rsid w:val="00E42FB4"/>
    <w:rsid w:val="00E53370"/>
    <w:rsid w:val="00E55B55"/>
    <w:rsid w:val="00E6770F"/>
    <w:rsid w:val="00E72840"/>
    <w:rsid w:val="00EA631C"/>
    <w:rsid w:val="00EE02D3"/>
    <w:rsid w:val="00EE7537"/>
    <w:rsid w:val="00F00010"/>
    <w:rsid w:val="00F13324"/>
    <w:rsid w:val="00F204EC"/>
    <w:rsid w:val="00F818AE"/>
    <w:rsid w:val="00F8213C"/>
    <w:rsid w:val="00FC7791"/>
    <w:rsid w:val="00FE2C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587C"/>
  <w15:chartTrackingRefBased/>
  <w15:docId w15:val="{E6FCBC35-E404-4858-AE27-DB74882B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33E"/>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94333E"/>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94333E"/>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94333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4333E"/>
    <w:pPr>
      <w:keepNext/>
      <w:numPr>
        <w:ilvl w:val="3"/>
        <w:numId w:val="1"/>
      </w:numPr>
      <w:spacing w:before="240" w:after="60"/>
      <w:outlineLvl w:val="3"/>
    </w:pPr>
    <w:rPr>
      <w:rFonts w:cs="Arial"/>
      <w:b/>
      <w:bCs/>
      <w:szCs w:val="28"/>
    </w:rPr>
  </w:style>
  <w:style w:type="paragraph" w:styleId="Heading5">
    <w:name w:val="heading 5"/>
    <w:basedOn w:val="Normal"/>
    <w:next w:val="Normal"/>
    <w:link w:val="Heading5Char"/>
    <w:qFormat/>
    <w:rsid w:val="0094333E"/>
    <w:pPr>
      <w:keepNext/>
      <w:numPr>
        <w:ilvl w:val="4"/>
        <w:numId w:val="1"/>
      </w:numPr>
      <w:spacing w:before="0" w:after="0"/>
      <w:jc w:val="right"/>
      <w:outlineLvl w:val="4"/>
    </w:pPr>
    <w:rPr>
      <w:b/>
      <w:bCs/>
    </w:rPr>
  </w:style>
  <w:style w:type="paragraph" w:styleId="Heading6">
    <w:name w:val="heading 6"/>
    <w:basedOn w:val="Normal"/>
    <w:next w:val="Normal"/>
    <w:link w:val="Heading6Char"/>
    <w:qFormat/>
    <w:rsid w:val="0094333E"/>
    <w:pPr>
      <w:keepNext/>
      <w:numPr>
        <w:ilvl w:val="5"/>
        <w:numId w:val="1"/>
      </w:numPr>
      <w:jc w:val="right"/>
      <w:outlineLvl w:val="5"/>
    </w:pPr>
    <w:rPr>
      <w:rFonts w:cs="Arial"/>
      <w:b/>
      <w:caps/>
      <w:color w:val="003366"/>
      <w:spacing w:val="-22"/>
      <w:sz w:val="36"/>
    </w:rPr>
  </w:style>
  <w:style w:type="paragraph" w:styleId="Heading7">
    <w:name w:val="heading 7"/>
    <w:basedOn w:val="Normal"/>
    <w:next w:val="Normal"/>
    <w:link w:val="Heading7Char"/>
    <w:qFormat/>
    <w:rsid w:val="0094333E"/>
    <w:pPr>
      <w:keepNext/>
      <w:numPr>
        <w:ilvl w:val="6"/>
        <w:numId w:val="1"/>
      </w:numPr>
      <w:jc w:val="center"/>
      <w:outlineLvl w:val="6"/>
    </w:pPr>
    <w:rPr>
      <w:sz w:val="24"/>
    </w:rPr>
  </w:style>
  <w:style w:type="paragraph" w:styleId="Heading8">
    <w:name w:val="heading 8"/>
    <w:basedOn w:val="Normal"/>
    <w:next w:val="Normal"/>
    <w:link w:val="Heading8Char"/>
    <w:qFormat/>
    <w:rsid w:val="0094333E"/>
    <w:pPr>
      <w:keepNext/>
      <w:numPr>
        <w:ilvl w:val="7"/>
        <w:numId w:val="1"/>
      </w:numPr>
      <w:spacing w:before="0" w:after="0"/>
      <w:jc w:val="right"/>
      <w:outlineLvl w:val="7"/>
    </w:pPr>
    <w:rPr>
      <w:b/>
      <w:caps/>
      <w:sz w:val="32"/>
    </w:rPr>
  </w:style>
  <w:style w:type="paragraph" w:styleId="Heading9">
    <w:name w:val="heading 9"/>
    <w:basedOn w:val="Normal"/>
    <w:next w:val="Normal"/>
    <w:link w:val="Heading9Char"/>
    <w:qFormat/>
    <w:rsid w:val="0094333E"/>
    <w:pPr>
      <w:keepNext/>
      <w:numPr>
        <w:ilvl w:val="8"/>
        <w:numId w:val="1"/>
      </w:numPr>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333E"/>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94333E"/>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94333E"/>
    <w:rPr>
      <w:rFonts w:ascii="Trebuchet MS" w:eastAsia="Times New Roman" w:hAnsi="Trebuchet MS" w:cs="Arial"/>
      <w:b/>
      <w:bCs/>
      <w:sz w:val="20"/>
      <w:szCs w:val="26"/>
    </w:rPr>
  </w:style>
  <w:style w:type="character" w:customStyle="1" w:styleId="Heading4Char">
    <w:name w:val="Heading 4 Char"/>
    <w:basedOn w:val="DefaultParagraphFont"/>
    <w:link w:val="Heading4"/>
    <w:rsid w:val="0094333E"/>
    <w:rPr>
      <w:rFonts w:ascii="Trebuchet MS" w:eastAsia="Times New Roman" w:hAnsi="Trebuchet MS" w:cs="Arial"/>
      <w:b/>
      <w:bCs/>
      <w:sz w:val="20"/>
      <w:szCs w:val="28"/>
    </w:rPr>
  </w:style>
  <w:style w:type="character" w:customStyle="1" w:styleId="Heading5Char">
    <w:name w:val="Heading 5 Char"/>
    <w:basedOn w:val="DefaultParagraphFont"/>
    <w:link w:val="Heading5"/>
    <w:rsid w:val="0094333E"/>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94333E"/>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94333E"/>
    <w:rPr>
      <w:rFonts w:ascii="Trebuchet MS" w:eastAsia="Times New Roman" w:hAnsi="Trebuchet MS" w:cs="Times New Roman"/>
      <w:sz w:val="24"/>
      <w:szCs w:val="24"/>
    </w:rPr>
  </w:style>
  <w:style w:type="character" w:customStyle="1" w:styleId="Heading8Char">
    <w:name w:val="Heading 8 Char"/>
    <w:basedOn w:val="DefaultParagraphFont"/>
    <w:link w:val="Heading8"/>
    <w:rsid w:val="0094333E"/>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94333E"/>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94333E"/>
    <w:pPr>
      <w:spacing w:before="0" w:after="0"/>
    </w:pPr>
    <w:rPr>
      <w:sz w:val="16"/>
      <w:szCs w:val="20"/>
    </w:rPr>
  </w:style>
  <w:style w:type="character" w:customStyle="1" w:styleId="FootnoteTextChar">
    <w:name w:val="Footnote Text Char"/>
    <w:basedOn w:val="DefaultParagraphFont"/>
    <w:uiPriority w:val="99"/>
    <w:semiHidden/>
    <w:rsid w:val="0094333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qFormat/>
    <w:rsid w:val="0094333E"/>
    <w:rPr>
      <w:vertAlign w:val="superscript"/>
    </w:rPr>
  </w:style>
  <w:style w:type="character" w:styleId="Hyperlink">
    <w:name w:val="Hyperlink"/>
    <w:uiPriority w:val="99"/>
    <w:rsid w:val="0094333E"/>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94333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4333E"/>
    <w:pPr>
      <w:spacing w:before="0"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951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5157">
      <w:bodyDiv w:val="1"/>
      <w:marLeft w:val="0"/>
      <w:marRight w:val="0"/>
      <w:marTop w:val="0"/>
      <w:marBottom w:val="0"/>
      <w:divBdr>
        <w:top w:val="none" w:sz="0" w:space="0" w:color="auto"/>
        <w:left w:val="none" w:sz="0" w:space="0" w:color="auto"/>
        <w:bottom w:val="none" w:sz="0" w:space="0" w:color="auto"/>
        <w:right w:val="none" w:sz="0" w:space="0" w:color="auto"/>
      </w:divBdr>
    </w:div>
    <w:div w:id="175913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52021XC0218(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2188</Words>
  <Characters>12694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15</cp:revision>
  <dcterms:created xsi:type="dcterms:W3CDTF">2022-02-03T02:02:00Z</dcterms:created>
  <dcterms:modified xsi:type="dcterms:W3CDTF">2022-02-04T05:55:00Z</dcterms:modified>
</cp:coreProperties>
</file>